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2A88" w14:textId="77777777" w:rsidR="00390A2D" w:rsidRDefault="00390A2D" w:rsidP="00563B17">
      <w:pPr>
        <w:sectPr w:rsidR="00390A2D" w:rsidSect="00B9623D">
          <w:headerReference w:type="default" r:id="rId10"/>
          <w:footerReference w:type="default" r:id="rId11"/>
          <w:pgSz w:w="11906" w:h="16838"/>
          <w:pgMar w:top="1440" w:right="1440" w:bottom="1134" w:left="1440" w:header="708" w:footer="708" w:gutter="0"/>
          <w:pgNumType w:start="1"/>
          <w:cols w:space="708"/>
          <w:docGrid w:linePitch="360"/>
        </w:sectPr>
      </w:pPr>
    </w:p>
    <w:p w14:paraId="77B6D855" w14:textId="781813B3" w:rsidR="00B06629" w:rsidRDefault="00B06629" w:rsidP="00563B17">
      <w:pPr>
        <w:rPr>
          <w:noProof/>
        </w:rPr>
      </w:pPr>
      <w:r w:rsidRPr="00B06629">
        <w:rPr>
          <w:rFonts w:ascii="Arial" w:hAnsi="Arial" w:cs="Arial"/>
          <w:b/>
          <w:bCs/>
        </w:rPr>
        <w:lastRenderedPageBreak/>
        <w:t xml:space="preserve">Attachment A </w:t>
      </w:r>
      <w:r w:rsidR="00A244CF">
        <w:rPr>
          <w:rFonts w:ascii="Arial" w:hAnsi="Arial" w:cs="Arial"/>
          <w:b/>
          <w:bCs/>
        </w:rPr>
        <w:t xml:space="preserve">– </w:t>
      </w:r>
      <w:r w:rsidRPr="00B06629">
        <w:rPr>
          <w:rFonts w:ascii="Arial" w:hAnsi="Arial" w:cs="Arial"/>
          <w:b/>
          <w:bCs/>
        </w:rPr>
        <w:t>Product Involvement</w:t>
      </w:r>
      <w:r w:rsidR="00FA7E93">
        <w:rPr>
          <w:rFonts w:ascii="Arial" w:hAnsi="Arial" w:cs="Arial"/>
          <w:b/>
          <w:bCs/>
        </w:rPr>
        <w:t xml:space="preserve"> </w:t>
      </w:r>
      <w:r w:rsidR="00A244CF">
        <w:rPr>
          <w:rFonts w:ascii="Arial" w:hAnsi="Arial" w:cs="Arial"/>
          <w:b/>
          <w:bCs/>
        </w:rPr>
        <w:t>Exclusions</w:t>
      </w:r>
      <w:r w:rsidR="00EC5EFD" w:rsidRPr="00EC5EFD">
        <w:rPr>
          <w:rFonts w:ascii="Arial" w:hAnsi="Arial" w:cs="Arial"/>
          <w:b/>
          <w:bCs/>
        </w:rPr>
        <w:t xml:space="preserve"> </w:t>
      </w:r>
    </w:p>
    <w:tbl>
      <w:tblPr>
        <w:tblStyle w:val="GridTable1Light-Accent1"/>
        <w:tblW w:w="14743" w:type="dxa"/>
        <w:tblInd w:w="-431" w:type="dxa"/>
        <w:tblLayout w:type="fixed"/>
        <w:tblLook w:val="04A0" w:firstRow="1" w:lastRow="0" w:firstColumn="1" w:lastColumn="0" w:noHBand="0" w:noVBand="1"/>
      </w:tblPr>
      <w:tblGrid>
        <w:gridCol w:w="1419"/>
        <w:gridCol w:w="2409"/>
        <w:gridCol w:w="3544"/>
        <w:gridCol w:w="1842"/>
        <w:gridCol w:w="1843"/>
        <w:gridCol w:w="1843"/>
        <w:gridCol w:w="1843"/>
      </w:tblGrid>
      <w:tr w:rsidR="005D0779" w:rsidRPr="00EA1FCE" w14:paraId="677796C2" w14:textId="77777777" w:rsidTr="00E829F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9" w:type="dxa"/>
          </w:tcPr>
          <w:p w14:paraId="577643DB" w14:textId="77777777" w:rsidR="005D0779" w:rsidRPr="00EA1FCE" w:rsidRDefault="005D0779" w:rsidP="00080124">
            <w:pPr>
              <w:tabs>
                <w:tab w:val="left" w:pos="2268"/>
                <w:tab w:val="left" w:pos="2835"/>
              </w:tabs>
              <w:rPr>
                <w:rFonts w:ascii="Arial" w:hAnsi="Arial" w:cs="Arial"/>
                <w:color w:val="000000" w:themeColor="text1"/>
                <w:sz w:val="20"/>
                <w:szCs w:val="20"/>
              </w:rPr>
            </w:pPr>
            <w:r w:rsidRPr="00EA1FCE">
              <w:rPr>
                <w:rFonts w:ascii="Arial" w:hAnsi="Arial" w:cs="Arial"/>
                <w:color w:val="000000" w:themeColor="text1"/>
                <w:sz w:val="20"/>
                <w:szCs w:val="20"/>
              </w:rPr>
              <w:t>Product Involvement Type</w:t>
            </w:r>
          </w:p>
        </w:tc>
        <w:tc>
          <w:tcPr>
            <w:tcW w:w="2409" w:type="dxa"/>
          </w:tcPr>
          <w:p w14:paraId="6F15FBA7" w14:textId="77777777" w:rsidR="005D0779" w:rsidRPr="00EA1FCE" w:rsidRDefault="005D0779" w:rsidP="00080124">
            <w:pPr>
              <w:tabs>
                <w:tab w:val="left" w:pos="2268"/>
                <w:tab w:val="left" w:pos="283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1FCE">
              <w:rPr>
                <w:rFonts w:ascii="Arial" w:hAnsi="Arial" w:cs="Arial"/>
                <w:color w:val="000000" w:themeColor="text1"/>
                <w:sz w:val="20"/>
                <w:szCs w:val="20"/>
              </w:rPr>
              <w:t>AMPWM Statement</w:t>
            </w:r>
          </w:p>
        </w:tc>
        <w:tc>
          <w:tcPr>
            <w:tcW w:w="3544" w:type="dxa"/>
          </w:tcPr>
          <w:p w14:paraId="3964205E" w14:textId="145FCE0E" w:rsidR="005D0779" w:rsidRPr="00EA1FCE" w:rsidRDefault="005D0779" w:rsidP="00080124">
            <w:pPr>
              <w:tabs>
                <w:tab w:val="left" w:pos="2268"/>
                <w:tab w:val="left" w:pos="283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Sustainalytics Product Involvement Description</w:t>
            </w:r>
          </w:p>
        </w:tc>
        <w:tc>
          <w:tcPr>
            <w:tcW w:w="1842" w:type="dxa"/>
          </w:tcPr>
          <w:p w14:paraId="513A82CD" w14:textId="451E5FAC" w:rsidR="005D0779" w:rsidRPr="00EA1FCE" w:rsidRDefault="005D0779" w:rsidP="00080124">
            <w:pPr>
              <w:tabs>
                <w:tab w:val="left" w:pos="2268"/>
                <w:tab w:val="left" w:pos="283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Screen 1</w:t>
            </w:r>
          </w:p>
        </w:tc>
        <w:tc>
          <w:tcPr>
            <w:tcW w:w="1843" w:type="dxa"/>
          </w:tcPr>
          <w:p w14:paraId="56864022" w14:textId="4EA4DE5E" w:rsidR="005D0779" w:rsidRPr="00EA1FCE" w:rsidRDefault="005D0779" w:rsidP="00080124">
            <w:pPr>
              <w:tabs>
                <w:tab w:val="left" w:pos="2268"/>
                <w:tab w:val="left" w:pos="283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Screen 2</w:t>
            </w:r>
          </w:p>
        </w:tc>
        <w:tc>
          <w:tcPr>
            <w:tcW w:w="1843" w:type="dxa"/>
          </w:tcPr>
          <w:p w14:paraId="58D89775" w14:textId="5EAEF800" w:rsidR="005D0779" w:rsidRPr="00EA1FCE" w:rsidRDefault="005D0779" w:rsidP="00080124">
            <w:pPr>
              <w:tabs>
                <w:tab w:val="left" w:pos="2268"/>
                <w:tab w:val="left" w:pos="283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Screen 3</w:t>
            </w:r>
          </w:p>
        </w:tc>
        <w:tc>
          <w:tcPr>
            <w:tcW w:w="1843" w:type="dxa"/>
          </w:tcPr>
          <w:p w14:paraId="4CB8C558" w14:textId="45767BE1" w:rsidR="005D0779" w:rsidRPr="00EA1FCE" w:rsidRDefault="005D0779" w:rsidP="00080124">
            <w:pPr>
              <w:tabs>
                <w:tab w:val="left" w:pos="2268"/>
                <w:tab w:val="left" w:pos="2835"/>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Screen 4</w:t>
            </w:r>
          </w:p>
        </w:tc>
      </w:tr>
      <w:tr w:rsidR="005D0779" w:rsidRPr="00EA1FCE" w14:paraId="62C01E65" w14:textId="77777777" w:rsidTr="00E829FD">
        <w:trPr>
          <w:trHeight w:val="741"/>
        </w:trPr>
        <w:tc>
          <w:tcPr>
            <w:cnfStyle w:val="001000000000" w:firstRow="0" w:lastRow="0" w:firstColumn="1" w:lastColumn="0" w:oddVBand="0" w:evenVBand="0" w:oddHBand="0" w:evenHBand="0" w:firstRowFirstColumn="0" w:firstRowLastColumn="0" w:lastRowFirstColumn="0" w:lastRowLastColumn="0"/>
            <w:tcW w:w="1419" w:type="dxa"/>
          </w:tcPr>
          <w:p w14:paraId="71DF8FDA" w14:textId="77777777" w:rsidR="005D0779" w:rsidRPr="00EA1FCE" w:rsidRDefault="005D0779" w:rsidP="00080124">
            <w:pPr>
              <w:tabs>
                <w:tab w:val="left" w:pos="2268"/>
                <w:tab w:val="left" w:pos="2835"/>
              </w:tabs>
              <w:rPr>
                <w:rFonts w:ascii="Arial" w:hAnsi="Arial" w:cs="Arial"/>
                <w:b w:val="0"/>
                <w:bCs w:val="0"/>
                <w:color w:val="000000" w:themeColor="text1"/>
                <w:sz w:val="20"/>
                <w:szCs w:val="20"/>
              </w:rPr>
            </w:pPr>
            <w:r w:rsidRPr="00EA1FCE">
              <w:rPr>
                <w:rFonts w:ascii="Arial" w:hAnsi="Arial" w:cs="Arial"/>
                <w:b w:val="0"/>
                <w:bCs w:val="0"/>
                <w:color w:val="000000" w:themeColor="text1"/>
                <w:sz w:val="20"/>
                <w:szCs w:val="20"/>
              </w:rPr>
              <w:t>Controversial weapons</w:t>
            </w:r>
          </w:p>
        </w:tc>
        <w:tc>
          <w:tcPr>
            <w:tcW w:w="2409" w:type="dxa"/>
          </w:tcPr>
          <w:p w14:paraId="289E964F" w14:textId="49461DFB" w:rsidR="005D0779" w:rsidRPr="00EA1FCE" w:rsidRDefault="005D0779" w:rsidP="00080124">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1FCE">
              <w:rPr>
                <w:rFonts w:ascii="Arial" w:hAnsi="Arial" w:cs="Arial"/>
                <w:color w:val="000000" w:themeColor="text1"/>
                <w:sz w:val="20"/>
                <w:szCs w:val="20"/>
              </w:rPr>
              <w:t>All companies with any tie to controversial weapons (cluster munitions and anti-personal mines)</w:t>
            </w:r>
          </w:p>
        </w:tc>
        <w:tc>
          <w:tcPr>
            <w:tcW w:w="3544" w:type="dxa"/>
          </w:tcPr>
          <w:p w14:paraId="41985C97" w14:textId="77777777" w:rsidR="005D0779" w:rsidRPr="00790395" w:rsidRDefault="005D0779" w:rsidP="008D4BAB">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790395">
              <w:rPr>
                <w:rFonts w:ascii="Arial" w:hAnsi="Arial" w:cs="Arial"/>
                <w:color w:val="000000" w:themeColor="text1"/>
                <w:sz w:val="20"/>
                <w:szCs w:val="20"/>
                <w:u w:val="single"/>
              </w:rPr>
              <w:t>Controversial Weapons:</w:t>
            </w:r>
          </w:p>
          <w:p w14:paraId="66F90EC4" w14:textId="06A34B9C" w:rsidR="005D0779" w:rsidRPr="00EA1FCE" w:rsidRDefault="005D0779" w:rsidP="008D4BAB">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8D4BAB">
              <w:rPr>
                <w:rFonts w:ascii="Arial" w:hAnsi="Arial" w:cs="Arial"/>
                <w:color w:val="000000" w:themeColor="text1"/>
                <w:sz w:val="20"/>
                <w:szCs w:val="20"/>
              </w:rPr>
              <w:t xml:space="preserve">This involvement area provides an assessment of whether companies are involved in the manufacturing of controversial weapons or components or services thereof.  </w:t>
            </w:r>
          </w:p>
        </w:tc>
        <w:tc>
          <w:tcPr>
            <w:tcW w:w="1842" w:type="dxa"/>
            <w:shd w:val="clear" w:color="auto" w:fill="D9E2F3" w:themeFill="accent1" w:themeFillTint="33"/>
          </w:tcPr>
          <w:p w14:paraId="7BB86CA3" w14:textId="3DA5C2BB" w:rsidR="005D0779" w:rsidRPr="00EA1FCE" w:rsidRDefault="00AD40BA" w:rsidP="00080124">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D40BA">
              <w:rPr>
                <w:rFonts w:ascii="Arial" w:hAnsi="Arial" w:cs="Arial"/>
                <w:color w:val="000000" w:themeColor="text1"/>
                <w:sz w:val="20"/>
                <w:szCs w:val="20"/>
              </w:rPr>
              <w:t>The company is involved in the core weapon system, or components/services of the core weapon system that are considered tailor-made and essential for the lethal use of the weapon. 0%</w:t>
            </w:r>
          </w:p>
        </w:tc>
        <w:tc>
          <w:tcPr>
            <w:tcW w:w="1843" w:type="dxa"/>
            <w:shd w:val="clear" w:color="auto" w:fill="D9E2F3" w:themeFill="accent1" w:themeFillTint="33"/>
          </w:tcPr>
          <w:p w14:paraId="5BFB8487" w14:textId="2F352CB2" w:rsidR="005D0779" w:rsidRPr="00EA1FCE" w:rsidRDefault="00354F8E" w:rsidP="00080124">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54F8E">
              <w:rPr>
                <w:rFonts w:ascii="Arial" w:hAnsi="Arial" w:cs="Arial"/>
                <w:color w:val="000000" w:themeColor="text1"/>
                <w:sz w:val="20"/>
                <w:szCs w:val="20"/>
              </w:rPr>
              <w:t>The company provides components/services for the core weapon system, which are either not considered tailor-made or not essential to the lethal use of the weapon. 0%</w:t>
            </w:r>
          </w:p>
        </w:tc>
        <w:tc>
          <w:tcPr>
            <w:tcW w:w="1843" w:type="dxa"/>
          </w:tcPr>
          <w:p w14:paraId="6D2C27D4" w14:textId="77777777" w:rsidR="005D0779" w:rsidRPr="00EA1FCE" w:rsidRDefault="005D0779" w:rsidP="00080124">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6D2C9795" w14:textId="45587277" w:rsidR="005D0779" w:rsidRPr="00EA1FCE" w:rsidRDefault="005D0779" w:rsidP="00080124">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E49C3" w:rsidRPr="00EA1FCE" w14:paraId="6A501749" w14:textId="77777777" w:rsidTr="00E829FD">
        <w:trPr>
          <w:trHeight w:val="724"/>
        </w:trPr>
        <w:tc>
          <w:tcPr>
            <w:cnfStyle w:val="001000000000" w:firstRow="0" w:lastRow="0" w:firstColumn="1" w:lastColumn="0" w:oddVBand="0" w:evenVBand="0" w:oddHBand="0" w:evenHBand="0" w:firstRowFirstColumn="0" w:firstRowLastColumn="0" w:lastRowFirstColumn="0" w:lastRowLastColumn="0"/>
            <w:tcW w:w="1419" w:type="dxa"/>
          </w:tcPr>
          <w:p w14:paraId="7F5AFEDA" w14:textId="77777777" w:rsidR="000E4A0D" w:rsidRPr="008D5778" w:rsidRDefault="000E4A0D" w:rsidP="000E4A0D">
            <w:pPr>
              <w:tabs>
                <w:tab w:val="left" w:pos="2268"/>
                <w:tab w:val="left" w:pos="2835"/>
              </w:tabs>
              <w:rPr>
                <w:rFonts w:ascii="Arial" w:hAnsi="Arial" w:cs="Arial"/>
                <w:b w:val="0"/>
                <w:bCs w:val="0"/>
                <w:color w:val="000000" w:themeColor="text1"/>
                <w:sz w:val="20"/>
                <w:szCs w:val="20"/>
              </w:rPr>
            </w:pPr>
            <w:r w:rsidRPr="008D5778">
              <w:rPr>
                <w:rFonts w:ascii="Arial" w:hAnsi="Arial" w:cs="Arial"/>
                <w:b w:val="0"/>
                <w:bCs w:val="0"/>
                <w:color w:val="000000" w:themeColor="text1"/>
                <w:sz w:val="20"/>
                <w:szCs w:val="20"/>
              </w:rPr>
              <w:t>Nuclear weapons</w:t>
            </w:r>
          </w:p>
        </w:tc>
        <w:tc>
          <w:tcPr>
            <w:tcW w:w="2409" w:type="dxa"/>
          </w:tcPr>
          <w:p w14:paraId="60EFDC31" w14:textId="28B02284" w:rsidR="000E4A0D" w:rsidRPr="00EA1FCE" w:rsidRDefault="000E4A0D"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1FCE">
              <w:rPr>
                <w:rFonts w:ascii="Arial" w:hAnsi="Arial" w:cs="Arial"/>
                <w:color w:val="000000" w:themeColor="text1"/>
                <w:sz w:val="20"/>
                <w:szCs w:val="20"/>
              </w:rPr>
              <w:t>All companies with any tie to the manufacture of nuclear weapons, their related components or delivery systems.</w:t>
            </w:r>
          </w:p>
        </w:tc>
        <w:tc>
          <w:tcPr>
            <w:tcW w:w="3544" w:type="dxa"/>
          </w:tcPr>
          <w:p w14:paraId="59207AB9" w14:textId="77777777" w:rsidR="000E4A0D" w:rsidRPr="00790395" w:rsidRDefault="000E4A0D"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790395">
              <w:rPr>
                <w:rFonts w:ascii="Arial" w:hAnsi="Arial" w:cs="Arial"/>
                <w:color w:val="000000" w:themeColor="text1"/>
                <w:sz w:val="20"/>
                <w:szCs w:val="20"/>
                <w:u w:val="single"/>
              </w:rPr>
              <w:t>Controversial Weapons:</w:t>
            </w:r>
          </w:p>
          <w:p w14:paraId="6CDF2C53" w14:textId="5D595031" w:rsidR="000E4A0D" w:rsidRPr="00EA1FCE" w:rsidRDefault="000E4A0D"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As above.</w:t>
            </w:r>
            <w:r w:rsidRPr="008D4BAB">
              <w:rPr>
                <w:rFonts w:ascii="Arial" w:hAnsi="Arial" w:cs="Arial"/>
                <w:color w:val="000000" w:themeColor="text1"/>
                <w:sz w:val="20"/>
                <w:szCs w:val="20"/>
              </w:rPr>
              <w:t xml:space="preserve">  </w:t>
            </w:r>
          </w:p>
        </w:tc>
        <w:tc>
          <w:tcPr>
            <w:tcW w:w="1842" w:type="dxa"/>
            <w:shd w:val="clear" w:color="auto" w:fill="D9E2F3" w:themeFill="accent1" w:themeFillTint="33"/>
          </w:tcPr>
          <w:p w14:paraId="48B454E7" w14:textId="4E9F884B" w:rsidR="000E4A0D" w:rsidRPr="00EA1FCE" w:rsidRDefault="000E4A0D"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D40BA">
              <w:rPr>
                <w:rFonts w:ascii="Arial" w:hAnsi="Arial" w:cs="Arial"/>
                <w:color w:val="000000" w:themeColor="text1"/>
                <w:sz w:val="20"/>
                <w:szCs w:val="20"/>
              </w:rPr>
              <w:t>The company is involved in the core weapon system, or components/services of the core weapon system that are considered tailor-made and essential for the lethal use of the weapon. 0%</w:t>
            </w:r>
          </w:p>
        </w:tc>
        <w:tc>
          <w:tcPr>
            <w:tcW w:w="1843" w:type="dxa"/>
            <w:shd w:val="clear" w:color="auto" w:fill="D9E2F3" w:themeFill="accent1" w:themeFillTint="33"/>
          </w:tcPr>
          <w:p w14:paraId="3C274DF3" w14:textId="593C7A4A" w:rsidR="000E4A0D" w:rsidRPr="00EA1FCE" w:rsidRDefault="000E4A0D"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54F8E">
              <w:rPr>
                <w:rFonts w:ascii="Arial" w:hAnsi="Arial" w:cs="Arial"/>
                <w:color w:val="000000" w:themeColor="text1"/>
                <w:sz w:val="20"/>
                <w:szCs w:val="20"/>
              </w:rPr>
              <w:t>The company provides components/services for the core weapon system, which are either not considered tailor-made or not essential to the lethal use of the weapon. 0%</w:t>
            </w:r>
          </w:p>
        </w:tc>
        <w:tc>
          <w:tcPr>
            <w:tcW w:w="1843" w:type="dxa"/>
          </w:tcPr>
          <w:p w14:paraId="62B729F9" w14:textId="77777777" w:rsidR="000E4A0D" w:rsidRPr="00EA1FCE" w:rsidRDefault="000E4A0D"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4929F95C" w14:textId="773260C4" w:rsidR="000E4A0D" w:rsidRPr="00EA1FCE" w:rsidRDefault="000E4A0D"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726950" w:rsidRPr="00D51967" w14:paraId="6022D485" w14:textId="77777777" w:rsidTr="00B338EB">
        <w:trPr>
          <w:trHeight w:val="583"/>
        </w:trPr>
        <w:tc>
          <w:tcPr>
            <w:cnfStyle w:val="001000000000" w:firstRow="0" w:lastRow="0" w:firstColumn="1" w:lastColumn="0" w:oddVBand="0" w:evenVBand="0" w:oddHBand="0" w:evenHBand="0" w:firstRowFirstColumn="0" w:firstRowLastColumn="0" w:lastRowFirstColumn="0" w:lastRowLastColumn="0"/>
            <w:tcW w:w="1419" w:type="dxa"/>
            <w:vMerge w:val="restart"/>
          </w:tcPr>
          <w:p w14:paraId="1D9A35B2" w14:textId="77777777" w:rsidR="00BB170A" w:rsidRPr="008D5778" w:rsidRDefault="00BB170A" w:rsidP="000E4A0D">
            <w:pPr>
              <w:tabs>
                <w:tab w:val="left" w:pos="2268"/>
                <w:tab w:val="left" w:pos="2835"/>
              </w:tabs>
              <w:rPr>
                <w:rFonts w:ascii="Arial" w:hAnsi="Arial" w:cs="Arial"/>
                <w:b w:val="0"/>
                <w:bCs w:val="0"/>
                <w:color w:val="000000" w:themeColor="text1"/>
                <w:sz w:val="20"/>
                <w:szCs w:val="20"/>
              </w:rPr>
            </w:pPr>
            <w:r w:rsidRPr="008D5778">
              <w:rPr>
                <w:rFonts w:ascii="Arial" w:hAnsi="Arial" w:cs="Arial"/>
                <w:b w:val="0"/>
                <w:bCs w:val="0"/>
                <w:color w:val="000000" w:themeColor="text1"/>
                <w:sz w:val="20"/>
                <w:szCs w:val="20"/>
              </w:rPr>
              <w:t>Civilian firearms</w:t>
            </w:r>
          </w:p>
        </w:tc>
        <w:tc>
          <w:tcPr>
            <w:tcW w:w="2409" w:type="dxa"/>
            <w:vMerge w:val="restart"/>
          </w:tcPr>
          <w:p w14:paraId="400AAFE7" w14:textId="5481411D" w:rsidR="00BB170A" w:rsidRPr="00D51967" w:rsidRDefault="00190CB4"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t>All p</w:t>
            </w:r>
            <w:r w:rsidR="00BB170A" w:rsidRPr="00D51967">
              <w:rPr>
                <w:rFonts w:ascii="Arial" w:hAnsi="Arial" w:cs="Arial"/>
                <w:color w:val="000000" w:themeColor="text1"/>
                <w:sz w:val="20"/>
                <w:szCs w:val="20"/>
              </w:rPr>
              <w:t xml:space="preserve">roducers and all companies that earn more than 5% of their revenue from the distribution, retail and </w:t>
            </w:r>
            <w:r w:rsidR="00BB170A" w:rsidRPr="00D51967">
              <w:rPr>
                <w:rFonts w:ascii="Arial" w:hAnsi="Arial" w:cs="Arial"/>
                <w:color w:val="000000" w:themeColor="text1"/>
                <w:sz w:val="20"/>
                <w:szCs w:val="20"/>
              </w:rPr>
              <w:lastRenderedPageBreak/>
              <w:t>supply of civilian firearms.</w:t>
            </w:r>
          </w:p>
        </w:tc>
        <w:tc>
          <w:tcPr>
            <w:tcW w:w="3544" w:type="dxa"/>
            <w:vMerge w:val="restart"/>
          </w:tcPr>
          <w:p w14:paraId="60AE829F" w14:textId="77777777" w:rsidR="00BB170A" w:rsidRPr="00D51967" w:rsidRDefault="00BB170A"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D51967">
              <w:rPr>
                <w:rFonts w:ascii="Arial" w:hAnsi="Arial" w:cs="Arial"/>
                <w:color w:val="000000" w:themeColor="text1"/>
                <w:sz w:val="20"/>
                <w:szCs w:val="20"/>
                <w:u w:val="single"/>
              </w:rPr>
              <w:lastRenderedPageBreak/>
              <w:t>Small Arms:</w:t>
            </w:r>
          </w:p>
          <w:p w14:paraId="750AFA45" w14:textId="7906E045" w:rsidR="00BB170A" w:rsidRPr="00D51967" w:rsidRDefault="00BB170A"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t xml:space="preserve">This involvement area provides an assessment of whether companies derive revenue from firearms. It includes manufacturers of firearm </w:t>
            </w:r>
            <w:r w:rsidRPr="00D51967">
              <w:rPr>
                <w:rFonts w:ascii="Arial" w:hAnsi="Arial" w:cs="Arial"/>
                <w:color w:val="000000" w:themeColor="text1"/>
                <w:sz w:val="20"/>
                <w:szCs w:val="20"/>
              </w:rPr>
              <w:lastRenderedPageBreak/>
              <w:t>weapons such as guns, rifles, and pistols, manufacturers of components of these weapons and retailers.</w:t>
            </w:r>
          </w:p>
        </w:tc>
        <w:tc>
          <w:tcPr>
            <w:tcW w:w="1842" w:type="dxa"/>
            <w:shd w:val="clear" w:color="auto" w:fill="D9E2F3" w:themeFill="accent1" w:themeFillTint="33"/>
          </w:tcPr>
          <w:p w14:paraId="4130229A" w14:textId="48956143" w:rsidR="00BB170A" w:rsidRPr="00D51967" w:rsidRDefault="00D83BED"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lastRenderedPageBreak/>
              <w:t xml:space="preserve">The company manufactures and sells assault weapons to </w:t>
            </w:r>
            <w:r w:rsidRPr="00D51967">
              <w:rPr>
                <w:rFonts w:ascii="Arial" w:hAnsi="Arial" w:cs="Arial"/>
                <w:color w:val="000000" w:themeColor="text1"/>
                <w:sz w:val="20"/>
                <w:szCs w:val="20"/>
              </w:rPr>
              <w:lastRenderedPageBreak/>
              <w:t>civilian customers.  0%</w:t>
            </w:r>
          </w:p>
        </w:tc>
        <w:tc>
          <w:tcPr>
            <w:tcW w:w="1843" w:type="dxa"/>
            <w:shd w:val="clear" w:color="auto" w:fill="D9E2F3" w:themeFill="accent1" w:themeFillTint="33"/>
          </w:tcPr>
          <w:p w14:paraId="5EF05390" w14:textId="39608A2B" w:rsidR="00BB170A" w:rsidRPr="00D51967" w:rsidRDefault="00380109"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lastRenderedPageBreak/>
              <w:t>The company manufactures and sells key components of small arms.  0%</w:t>
            </w:r>
          </w:p>
        </w:tc>
        <w:tc>
          <w:tcPr>
            <w:tcW w:w="1843" w:type="dxa"/>
            <w:shd w:val="clear" w:color="auto" w:fill="E2EFD9" w:themeFill="accent6" w:themeFillTint="33"/>
          </w:tcPr>
          <w:p w14:paraId="6F0D9F46" w14:textId="47A167EA" w:rsidR="00BB170A" w:rsidRPr="00D51967" w:rsidRDefault="00380109"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t>The company manufactures and sells small arms to military/law enforcement. 5%</w:t>
            </w:r>
          </w:p>
        </w:tc>
        <w:tc>
          <w:tcPr>
            <w:tcW w:w="1843" w:type="dxa"/>
            <w:shd w:val="clear" w:color="auto" w:fill="E2EFD9" w:themeFill="accent6" w:themeFillTint="33"/>
          </w:tcPr>
          <w:p w14:paraId="6EAC3965" w14:textId="39427A58" w:rsidR="00BB170A" w:rsidRPr="00D51967" w:rsidRDefault="00267AB3" w:rsidP="000E4A0D">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t xml:space="preserve">The company is involved in the retail and/or distribution of </w:t>
            </w:r>
            <w:r w:rsidRPr="00D51967">
              <w:rPr>
                <w:rFonts w:ascii="Arial" w:hAnsi="Arial" w:cs="Arial"/>
                <w:color w:val="000000" w:themeColor="text1"/>
                <w:sz w:val="20"/>
                <w:szCs w:val="20"/>
              </w:rPr>
              <w:lastRenderedPageBreak/>
              <w:t>assault weapons. 5%</w:t>
            </w:r>
          </w:p>
        </w:tc>
      </w:tr>
      <w:tr w:rsidR="00EE49C3" w:rsidRPr="00EA1FCE" w14:paraId="676FC2DE" w14:textId="77777777" w:rsidTr="00E829FD">
        <w:trPr>
          <w:trHeight w:val="822"/>
        </w:trPr>
        <w:tc>
          <w:tcPr>
            <w:cnfStyle w:val="001000000000" w:firstRow="0" w:lastRow="0" w:firstColumn="1" w:lastColumn="0" w:oddVBand="0" w:evenVBand="0" w:oddHBand="0" w:evenHBand="0" w:firstRowFirstColumn="0" w:firstRowLastColumn="0" w:lastRowFirstColumn="0" w:lastRowLastColumn="0"/>
            <w:tcW w:w="1419" w:type="dxa"/>
            <w:vMerge/>
          </w:tcPr>
          <w:p w14:paraId="56091AAB" w14:textId="77777777" w:rsidR="00380109" w:rsidRPr="00D51967" w:rsidRDefault="00380109" w:rsidP="00380109">
            <w:pPr>
              <w:tabs>
                <w:tab w:val="left" w:pos="2268"/>
                <w:tab w:val="left" w:pos="2835"/>
              </w:tabs>
              <w:rPr>
                <w:rFonts w:ascii="Arial" w:hAnsi="Arial" w:cs="Arial"/>
                <w:color w:val="000000" w:themeColor="text1"/>
                <w:sz w:val="20"/>
                <w:szCs w:val="20"/>
              </w:rPr>
            </w:pPr>
          </w:p>
        </w:tc>
        <w:tc>
          <w:tcPr>
            <w:tcW w:w="2409" w:type="dxa"/>
            <w:vMerge/>
          </w:tcPr>
          <w:p w14:paraId="3650F387" w14:textId="77777777" w:rsidR="00380109" w:rsidRPr="00D51967"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3544" w:type="dxa"/>
            <w:vMerge/>
          </w:tcPr>
          <w:p w14:paraId="5A9B60FA" w14:textId="77777777" w:rsidR="00380109" w:rsidRPr="00D51967"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p>
        </w:tc>
        <w:tc>
          <w:tcPr>
            <w:tcW w:w="1842" w:type="dxa"/>
            <w:shd w:val="clear" w:color="auto" w:fill="D9E2F3" w:themeFill="accent1" w:themeFillTint="33"/>
          </w:tcPr>
          <w:p w14:paraId="15E435FB" w14:textId="1AB96E9E" w:rsidR="00380109" w:rsidRPr="00D51967"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t>The company manufactures and sells small arms (non-assault weapons) to civilian customers.</w:t>
            </w:r>
          </w:p>
        </w:tc>
        <w:tc>
          <w:tcPr>
            <w:tcW w:w="1843" w:type="dxa"/>
            <w:shd w:val="clear" w:color="auto" w:fill="E2EFD9" w:themeFill="accent6" w:themeFillTint="33"/>
          </w:tcPr>
          <w:p w14:paraId="6EF7ABE2" w14:textId="3FBF988E" w:rsidR="00380109" w:rsidRPr="00D51967"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t>The company is involved in the retail and/or distribution of small arms (non-assault weapons). 5%</w:t>
            </w:r>
          </w:p>
        </w:tc>
        <w:tc>
          <w:tcPr>
            <w:tcW w:w="1843" w:type="dxa"/>
          </w:tcPr>
          <w:p w14:paraId="2E89E4CE"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7B1B754B"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E49C3" w:rsidRPr="00EA1FCE" w14:paraId="72C3EC78" w14:textId="77777777" w:rsidTr="00E829FD">
        <w:trPr>
          <w:trHeight w:val="724"/>
        </w:trPr>
        <w:tc>
          <w:tcPr>
            <w:cnfStyle w:val="001000000000" w:firstRow="0" w:lastRow="0" w:firstColumn="1" w:lastColumn="0" w:oddVBand="0" w:evenVBand="0" w:oddHBand="0" w:evenHBand="0" w:firstRowFirstColumn="0" w:firstRowLastColumn="0" w:lastRowFirstColumn="0" w:lastRowLastColumn="0"/>
            <w:tcW w:w="1419" w:type="dxa"/>
          </w:tcPr>
          <w:p w14:paraId="333FE3D5" w14:textId="77777777" w:rsidR="00380109" w:rsidRPr="00EA1FCE" w:rsidRDefault="00380109" w:rsidP="00380109">
            <w:pPr>
              <w:tabs>
                <w:tab w:val="left" w:pos="2268"/>
                <w:tab w:val="left" w:pos="2835"/>
              </w:tabs>
              <w:rPr>
                <w:rFonts w:ascii="Arial" w:hAnsi="Arial" w:cs="Arial"/>
                <w:b w:val="0"/>
                <w:bCs w:val="0"/>
                <w:color w:val="000000" w:themeColor="text1"/>
                <w:sz w:val="20"/>
                <w:szCs w:val="20"/>
              </w:rPr>
            </w:pPr>
            <w:r w:rsidRPr="00EA1FCE">
              <w:rPr>
                <w:rFonts w:ascii="Arial" w:hAnsi="Arial" w:cs="Arial"/>
                <w:b w:val="0"/>
                <w:bCs w:val="0"/>
                <w:color w:val="000000" w:themeColor="text1"/>
                <w:sz w:val="20"/>
                <w:szCs w:val="20"/>
              </w:rPr>
              <w:t>Military weapons</w:t>
            </w:r>
          </w:p>
        </w:tc>
        <w:tc>
          <w:tcPr>
            <w:tcW w:w="2409" w:type="dxa"/>
          </w:tcPr>
          <w:p w14:paraId="35144356" w14:textId="121E4F00"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1FCE">
              <w:rPr>
                <w:rFonts w:ascii="Arial" w:hAnsi="Arial" w:cs="Arial"/>
                <w:color w:val="000000" w:themeColor="text1"/>
                <w:sz w:val="20"/>
                <w:szCs w:val="20"/>
              </w:rPr>
              <w:t>All companies deriving 5% or more revenue from the production of conventional weapons, weapons systems, components and support systems and services</w:t>
            </w:r>
          </w:p>
        </w:tc>
        <w:tc>
          <w:tcPr>
            <w:tcW w:w="3544" w:type="dxa"/>
          </w:tcPr>
          <w:p w14:paraId="075BFD60" w14:textId="77777777" w:rsidR="00380109" w:rsidRPr="004071ED"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4071ED">
              <w:rPr>
                <w:rFonts w:ascii="Arial" w:hAnsi="Arial" w:cs="Arial"/>
                <w:color w:val="000000" w:themeColor="text1"/>
                <w:sz w:val="20"/>
                <w:szCs w:val="20"/>
                <w:u w:val="single"/>
              </w:rPr>
              <w:t>Military Contracting:</w:t>
            </w:r>
          </w:p>
          <w:p w14:paraId="656815BA" w14:textId="1CA7CEF1"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071ED">
              <w:rPr>
                <w:rFonts w:ascii="Arial" w:hAnsi="Arial" w:cs="Arial"/>
                <w:color w:val="000000" w:themeColor="text1"/>
                <w:sz w:val="20"/>
                <w:szCs w:val="20"/>
              </w:rPr>
              <w:t xml:space="preserve">This involvement area provides an assessment of whether companies derive revenue from the manufacturing of weapons or weapon components or from providing tailor-made products or services to the army or the </w:t>
            </w:r>
            <w:r w:rsidR="000E4A0D" w:rsidRPr="270D0C6B">
              <w:rPr>
                <w:rFonts w:ascii="Arial" w:hAnsi="Arial" w:cs="Arial"/>
                <w:color w:val="000000" w:themeColor="text1"/>
                <w:sz w:val="20"/>
                <w:szCs w:val="20"/>
              </w:rPr>
              <w:t>defen</w:t>
            </w:r>
            <w:r w:rsidR="06B0CBDA" w:rsidRPr="270D0C6B">
              <w:rPr>
                <w:rFonts w:ascii="Arial" w:hAnsi="Arial" w:cs="Arial"/>
                <w:color w:val="000000" w:themeColor="text1"/>
                <w:sz w:val="20"/>
                <w:szCs w:val="20"/>
              </w:rPr>
              <w:t>c</w:t>
            </w:r>
            <w:r w:rsidR="000E4A0D" w:rsidRPr="270D0C6B">
              <w:rPr>
                <w:rFonts w:ascii="Arial" w:hAnsi="Arial" w:cs="Arial"/>
                <w:color w:val="000000" w:themeColor="text1"/>
                <w:sz w:val="20"/>
                <w:szCs w:val="20"/>
              </w:rPr>
              <w:t>e</w:t>
            </w:r>
            <w:r w:rsidRPr="004071ED">
              <w:rPr>
                <w:rFonts w:ascii="Arial" w:hAnsi="Arial" w:cs="Arial"/>
                <w:color w:val="000000" w:themeColor="text1"/>
                <w:sz w:val="20"/>
                <w:szCs w:val="20"/>
              </w:rPr>
              <w:t xml:space="preserve"> industry.</w:t>
            </w:r>
          </w:p>
        </w:tc>
        <w:tc>
          <w:tcPr>
            <w:tcW w:w="1842" w:type="dxa"/>
            <w:shd w:val="clear" w:color="auto" w:fill="E2EFD9" w:themeFill="accent6" w:themeFillTint="33"/>
          </w:tcPr>
          <w:p w14:paraId="65167874" w14:textId="45F4A51B"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54E16">
              <w:rPr>
                <w:rFonts w:ascii="Arial" w:hAnsi="Arial" w:cs="Arial"/>
                <w:color w:val="000000" w:themeColor="text1"/>
                <w:sz w:val="20"/>
                <w:szCs w:val="20"/>
              </w:rPr>
              <w:t>The company manufactures military weapon systems and/or integral, tailor-made components or these weapons. 5%</w:t>
            </w:r>
          </w:p>
        </w:tc>
        <w:tc>
          <w:tcPr>
            <w:tcW w:w="1843" w:type="dxa"/>
            <w:shd w:val="clear" w:color="auto" w:fill="E2EFD9" w:themeFill="accent6" w:themeFillTint="33"/>
          </w:tcPr>
          <w:p w14:paraId="300C97C7" w14:textId="4A84E326"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86EDD">
              <w:rPr>
                <w:rFonts w:ascii="Arial" w:hAnsi="Arial" w:cs="Arial"/>
                <w:color w:val="000000" w:themeColor="text1"/>
                <w:sz w:val="20"/>
                <w:szCs w:val="20"/>
              </w:rPr>
              <w:t>The company provides tailor-made products and/or services that support military weapons. 5%</w:t>
            </w:r>
          </w:p>
        </w:tc>
        <w:tc>
          <w:tcPr>
            <w:tcW w:w="1843" w:type="dxa"/>
          </w:tcPr>
          <w:p w14:paraId="4581A156"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2A17EBF5" w14:textId="7B1DE90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829FD" w:rsidRPr="00EA1FCE" w14:paraId="330804C2" w14:textId="77777777" w:rsidTr="00E829FD">
        <w:trPr>
          <w:trHeight w:val="1155"/>
        </w:trPr>
        <w:tc>
          <w:tcPr>
            <w:cnfStyle w:val="001000000000" w:firstRow="0" w:lastRow="0" w:firstColumn="1" w:lastColumn="0" w:oddVBand="0" w:evenVBand="0" w:oddHBand="0" w:evenHBand="0" w:firstRowFirstColumn="0" w:firstRowLastColumn="0" w:lastRowFirstColumn="0" w:lastRowLastColumn="0"/>
            <w:tcW w:w="1419" w:type="dxa"/>
            <w:vMerge w:val="restart"/>
          </w:tcPr>
          <w:p w14:paraId="6153A8F5" w14:textId="77777777" w:rsidR="00380109" w:rsidRPr="00D51967" w:rsidRDefault="00380109" w:rsidP="00380109">
            <w:pPr>
              <w:tabs>
                <w:tab w:val="left" w:pos="2268"/>
                <w:tab w:val="left" w:pos="2835"/>
              </w:tabs>
              <w:rPr>
                <w:rFonts w:ascii="Arial" w:hAnsi="Arial" w:cs="Arial"/>
                <w:b w:val="0"/>
                <w:bCs w:val="0"/>
                <w:color w:val="000000" w:themeColor="text1"/>
                <w:sz w:val="20"/>
                <w:szCs w:val="20"/>
              </w:rPr>
            </w:pPr>
            <w:r w:rsidRPr="00D51967">
              <w:rPr>
                <w:rFonts w:ascii="Arial" w:hAnsi="Arial" w:cs="Arial"/>
                <w:b w:val="0"/>
                <w:bCs w:val="0"/>
                <w:color w:val="000000" w:themeColor="text1"/>
                <w:sz w:val="20"/>
                <w:szCs w:val="20"/>
              </w:rPr>
              <w:t>Fossil fuels</w:t>
            </w:r>
          </w:p>
        </w:tc>
        <w:tc>
          <w:tcPr>
            <w:tcW w:w="2409" w:type="dxa"/>
            <w:vMerge w:val="restart"/>
          </w:tcPr>
          <w:p w14:paraId="6185B876" w14:textId="20C866C3"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t>All companies that earn revenues from the exploration, extraction, refinement, distribution and supply of fossil fuels.</w:t>
            </w:r>
          </w:p>
        </w:tc>
        <w:tc>
          <w:tcPr>
            <w:tcW w:w="3544" w:type="dxa"/>
          </w:tcPr>
          <w:p w14:paraId="228FBD57" w14:textId="4BCF06E3" w:rsidR="00380109" w:rsidRPr="00907152"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907152">
              <w:rPr>
                <w:rFonts w:ascii="Arial" w:hAnsi="Arial" w:cs="Arial"/>
                <w:color w:val="000000" w:themeColor="text1"/>
                <w:sz w:val="20"/>
                <w:szCs w:val="20"/>
                <w:u w:val="single"/>
              </w:rPr>
              <w:t xml:space="preserve">Artic </w:t>
            </w:r>
            <w:r>
              <w:rPr>
                <w:rFonts w:ascii="Arial" w:hAnsi="Arial" w:cs="Arial"/>
                <w:color w:val="000000" w:themeColor="text1"/>
                <w:sz w:val="20"/>
                <w:szCs w:val="20"/>
                <w:u w:val="single"/>
              </w:rPr>
              <w:t>O</w:t>
            </w:r>
            <w:r w:rsidRPr="00907152">
              <w:rPr>
                <w:rFonts w:ascii="Arial" w:hAnsi="Arial" w:cs="Arial"/>
                <w:color w:val="000000" w:themeColor="text1"/>
                <w:sz w:val="20"/>
                <w:szCs w:val="20"/>
                <w:u w:val="single"/>
              </w:rPr>
              <w:t xml:space="preserve">il &amp; </w:t>
            </w:r>
            <w:r>
              <w:rPr>
                <w:rFonts w:ascii="Arial" w:hAnsi="Arial" w:cs="Arial"/>
                <w:color w:val="000000" w:themeColor="text1"/>
                <w:sz w:val="20"/>
                <w:szCs w:val="20"/>
                <w:u w:val="single"/>
              </w:rPr>
              <w:t>G</w:t>
            </w:r>
            <w:r w:rsidRPr="00907152">
              <w:rPr>
                <w:rFonts w:ascii="Arial" w:hAnsi="Arial" w:cs="Arial"/>
                <w:color w:val="000000" w:themeColor="text1"/>
                <w:sz w:val="20"/>
                <w:szCs w:val="20"/>
                <w:u w:val="single"/>
              </w:rPr>
              <w:t xml:space="preserve">as </w:t>
            </w:r>
            <w:r>
              <w:rPr>
                <w:rFonts w:ascii="Arial" w:hAnsi="Arial" w:cs="Arial"/>
                <w:color w:val="000000" w:themeColor="text1"/>
                <w:sz w:val="20"/>
                <w:szCs w:val="20"/>
                <w:u w:val="single"/>
              </w:rPr>
              <w:t>E</w:t>
            </w:r>
            <w:r w:rsidRPr="00907152">
              <w:rPr>
                <w:rFonts w:ascii="Arial" w:hAnsi="Arial" w:cs="Arial"/>
                <w:color w:val="000000" w:themeColor="text1"/>
                <w:sz w:val="20"/>
                <w:szCs w:val="20"/>
                <w:u w:val="single"/>
              </w:rPr>
              <w:t>xploration:</w:t>
            </w:r>
          </w:p>
          <w:p w14:paraId="5ACC6E7D" w14:textId="77777777" w:rsidR="00380109"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07152">
              <w:rPr>
                <w:rFonts w:ascii="Arial" w:hAnsi="Arial" w:cs="Arial"/>
                <w:color w:val="000000" w:themeColor="text1"/>
                <w:sz w:val="20"/>
                <w:szCs w:val="20"/>
              </w:rPr>
              <w:t>This involvement area provides an assessment of whether companies derive revenues from oil and gas exploration in offshore Arctic regions.</w:t>
            </w:r>
          </w:p>
          <w:p w14:paraId="62027190" w14:textId="6CA91AE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A4EA4">
              <w:rPr>
                <w:rFonts w:ascii="Arial" w:hAnsi="Arial" w:cs="Arial"/>
                <w:color w:val="000000" w:themeColor="text1"/>
                <w:sz w:val="20"/>
                <w:szCs w:val="20"/>
              </w:rPr>
              <w:t xml:space="preserve"> </w:t>
            </w:r>
          </w:p>
        </w:tc>
        <w:tc>
          <w:tcPr>
            <w:tcW w:w="1842" w:type="dxa"/>
            <w:shd w:val="clear" w:color="auto" w:fill="D9E2F3" w:themeFill="accent1" w:themeFillTint="33"/>
          </w:tcPr>
          <w:p w14:paraId="12CB9455" w14:textId="32562FAA"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622CF">
              <w:rPr>
                <w:rFonts w:ascii="Arial" w:hAnsi="Arial" w:cs="Arial"/>
                <w:color w:val="000000" w:themeColor="text1"/>
                <w:sz w:val="20"/>
                <w:szCs w:val="20"/>
              </w:rPr>
              <w:t>The company is involved in oil and gas exploration in Arctic regions. (0%)</w:t>
            </w:r>
          </w:p>
        </w:tc>
        <w:tc>
          <w:tcPr>
            <w:tcW w:w="1843" w:type="dxa"/>
          </w:tcPr>
          <w:p w14:paraId="77E93954"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618206D2"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27062D63" w14:textId="26B74FED"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380109" w:rsidRPr="00EA1FCE" w14:paraId="06B0DEBC" w14:textId="77777777" w:rsidTr="00E829FD">
        <w:trPr>
          <w:trHeight w:val="1154"/>
        </w:trPr>
        <w:tc>
          <w:tcPr>
            <w:cnfStyle w:val="001000000000" w:firstRow="0" w:lastRow="0" w:firstColumn="1" w:lastColumn="0" w:oddVBand="0" w:evenVBand="0" w:oddHBand="0" w:evenHBand="0" w:firstRowFirstColumn="0" w:firstRowLastColumn="0" w:lastRowFirstColumn="0" w:lastRowLastColumn="0"/>
            <w:tcW w:w="1419" w:type="dxa"/>
            <w:vMerge/>
          </w:tcPr>
          <w:p w14:paraId="6FC65145" w14:textId="77777777" w:rsidR="00380109" w:rsidRPr="00EA1FCE" w:rsidRDefault="00380109" w:rsidP="00380109">
            <w:pPr>
              <w:tabs>
                <w:tab w:val="left" w:pos="2268"/>
                <w:tab w:val="left" w:pos="2835"/>
              </w:tabs>
              <w:rPr>
                <w:rFonts w:ascii="Arial" w:hAnsi="Arial" w:cs="Arial"/>
                <w:color w:val="000000" w:themeColor="text1"/>
                <w:sz w:val="20"/>
                <w:szCs w:val="20"/>
              </w:rPr>
            </w:pPr>
          </w:p>
        </w:tc>
        <w:tc>
          <w:tcPr>
            <w:tcW w:w="2409" w:type="dxa"/>
            <w:vMerge/>
          </w:tcPr>
          <w:p w14:paraId="2628AA58" w14:textId="77777777" w:rsidR="00380109" w:rsidRPr="006A4DC2"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p>
        </w:tc>
        <w:tc>
          <w:tcPr>
            <w:tcW w:w="3544" w:type="dxa"/>
          </w:tcPr>
          <w:p w14:paraId="42CFF240" w14:textId="77777777" w:rsidR="00380109" w:rsidRPr="0053247A"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53247A">
              <w:rPr>
                <w:rFonts w:ascii="Arial" w:hAnsi="Arial" w:cs="Arial"/>
                <w:color w:val="000000" w:themeColor="text1"/>
                <w:sz w:val="20"/>
                <w:szCs w:val="20"/>
                <w:u w:val="single"/>
              </w:rPr>
              <w:t>Oil &amp; Gas:</w:t>
            </w:r>
          </w:p>
          <w:p w14:paraId="011BC990" w14:textId="24F9C3E6" w:rsidR="00380109" w:rsidRPr="00D51967"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3247A">
              <w:rPr>
                <w:rFonts w:ascii="Arial" w:hAnsi="Arial" w:cs="Arial"/>
                <w:color w:val="000000" w:themeColor="text1"/>
                <w:sz w:val="20"/>
                <w:szCs w:val="20"/>
              </w:rPr>
              <w:t>This involvement area provides an assessment of whether companies derive revenue from involvement in oil and gas industries. It includes the oil and gas upstream, midstream, downstream and power generation industries. Petrochemicals and distribution activities are not included.</w:t>
            </w:r>
          </w:p>
        </w:tc>
        <w:tc>
          <w:tcPr>
            <w:tcW w:w="1842" w:type="dxa"/>
            <w:shd w:val="clear" w:color="auto" w:fill="D9E2F3" w:themeFill="accent1" w:themeFillTint="33"/>
          </w:tcPr>
          <w:p w14:paraId="500DEDB7" w14:textId="1357ACE8" w:rsidR="00380109" w:rsidRPr="00922919"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22919">
              <w:rPr>
                <w:rFonts w:ascii="Arial" w:hAnsi="Arial" w:cs="Arial"/>
                <w:color w:val="000000" w:themeColor="text1"/>
                <w:sz w:val="20"/>
                <w:szCs w:val="20"/>
              </w:rPr>
              <w:t>The company is involved in oil and gas exploration, production, refining, transportation and/or storage.</w:t>
            </w:r>
          </w:p>
          <w:p w14:paraId="41655A4D" w14:textId="77777777" w:rsidR="00380109" w:rsidRPr="00922919"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22919">
              <w:rPr>
                <w:rFonts w:ascii="Arial" w:hAnsi="Arial" w:cs="Arial"/>
                <w:color w:val="000000" w:themeColor="text1"/>
                <w:sz w:val="20"/>
                <w:szCs w:val="20"/>
              </w:rPr>
              <w:t>Subcategories:</w:t>
            </w:r>
          </w:p>
          <w:p w14:paraId="68460720" w14:textId="77777777" w:rsidR="00380109" w:rsidRPr="00922919"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22919">
              <w:rPr>
                <w:rFonts w:ascii="Arial" w:hAnsi="Arial" w:cs="Arial"/>
                <w:color w:val="000000" w:themeColor="text1"/>
                <w:sz w:val="20"/>
                <w:szCs w:val="20"/>
              </w:rPr>
              <w:t>- Exploration and Production</w:t>
            </w:r>
          </w:p>
          <w:p w14:paraId="618C3795" w14:textId="77777777" w:rsidR="00380109" w:rsidRPr="00922919"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22919">
              <w:rPr>
                <w:rFonts w:ascii="Arial" w:hAnsi="Arial" w:cs="Arial"/>
                <w:color w:val="000000" w:themeColor="text1"/>
                <w:sz w:val="20"/>
                <w:szCs w:val="20"/>
              </w:rPr>
              <w:t>- Refining</w:t>
            </w:r>
          </w:p>
          <w:p w14:paraId="5B3D2A9D" w14:textId="77777777" w:rsidR="00380109" w:rsidRPr="00922919"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22919">
              <w:rPr>
                <w:rFonts w:ascii="Arial" w:hAnsi="Arial" w:cs="Arial"/>
                <w:color w:val="000000" w:themeColor="text1"/>
                <w:sz w:val="20"/>
                <w:szCs w:val="20"/>
              </w:rPr>
              <w:t>- Transportation</w:t>
            </w:r>
          </w:p>
          <w:p w14:paraId="221059C1" w14:textId="032DE931"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22919">
              <w:rPr>
                <w:rFonts w:ascii="Arial" w:hAnsi="Arial" w:cs="Arial"/>
                <w:color w:val="000000" w:themeColor="text1"/>
                <w:sz w:val="20"/>
                <w:szCs w:val="20"/>
              </w:rPr>
              <w:lastRenderedPageBreak/>
              <w:t>- Storage   0%</w:t>
            </w:r>
          </w:p>
        </w:tc>
        <w:tc>
          <w:tcPr>
            <w:tcW w:w="1843" w:type="dxa"/>
          </w:tcPr>
          <w:p w14:paraId="684FFCAE"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5F9D940F"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3B45FABC"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E49C3" w:rsidRPr="00EA1FCE" w14:paraId="1ABA38A6" w14:textId="77777777" w:rsidTr="00E829FD">
        <w:trPr>
          <w:trHeight w:val="1154"/>
        </w:trPr>
        <w:tc>
          <w:tcPr>
            <w:cnfStyle w:val="001000000000" w:firstRow="0" w:lastRow="0" w:firstColumn="1" w:lastColumn="0" w:oddVBand="0" w:evenVBand="0" w:oddHBand="0" w:evenHBand="0" w:firstRowFirstColumn="0" w:firstRowLastColumn="0" w:lastRowFirstColumn="0" w:lastRowLastColumn="0"/>
            <w:tcW w:w="1419" w:type="dxa"/>
            <w:vMerge/>
          </w:tcPr>
          <w:p w14:paraId="4A5D7D01" w14:textId="77777777" w:rsidR="00380109" w:rsidRPr="00EA1FCE" w:rsidRDefault="00380109" w:rsidP="00380109">
            <w:pPr>
              <w:tabs>
                <w:tab w:val="left" w:pos="2268"/>
                <w:tab w:val="left" w:pos="2835"/>
              </w:tabs>
              <w:rPr>
                <w:rFonts w:ascii="Arial" w:hAnsi="Arial" w:cs="Arial"/>
                <w:color w:val="000000" w:themeColor="text1"/>
                <w:sz w:val="20"/>
                <w:szCs w:val="20"/>
              </w:rPr>
            </w:pPr>
          </w:p>
        </w:tc>
        <w:tc>
          <w:tcPr>
            <w:tcW w:w="2409" w:type="dxa"/>
            <w:vMerge/>
          </w:tcPr>
          <w:p w14:paraId="7F917DBB" w14:textId="77777777" w:rsidR="00380109" w:rsidRPr="006A4DC2"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p>
        </w:tc>
        <w:tc>
          <w:tcPr>
            <w:tcW w:w="3544" w:type="dxa"/>
          </w:tcPr>
          <w:p w14:paraId="3DD6B89E" w14:textId="77777777" w:rsidR="00380109" w:rsidRPr="001E4FE6"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1E4FE6">
              <w:rPr>
                <w:rFonts w:ascii="Arial" w:hAnsi="Arial" w:cs="Arial"/>
                <w:color w:val="000000" w:themeColor="text1"/>
                <w:sz w:val="20"/>
                <w:szCs w:val="20"/>
                <w:u w:val="single"/>
              </w:rPr>
              <w:t>Oil Sands:</w:t>
            </w:r>
          </w:p>
          <w:p w14:paraId="0B915E21" w14:textId="1A174862" w:rsidR="00380109" w:rsidRPr="00D51967"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E4FE6">
              <w:rPr>
                <w:rFonts w:ascii="Arial" w:hAnsi="Arial" w:cs="Arial"/>
                <w:color w:val="000000" w:themeColor="text1"/>
                <w:sz w:val="20"/>
                <w:szCs w:val="20"/>
              </w:rPr>
              <w:t>This involvement area provides an assessment of whether companies are involved in oil sands extraction.</w:t>
            </w:r>
          </w:p>
        </w:tc>
        <w:tc>
          <w:tcPr>
            <w:tcW w:w="1842" w:type="dxa"/>
            <w:shd w:val="clear" w:color="auto" w:fill="D9E2F3" w:themeFill="accent1" w:themeFillTint="33"/>
          </w:tcPr>
          <w:p w14:paraId="4E72CA14" w14:textId="19FDEE81" w:rsidR="00380109" w:rsidRPr="00B76D56"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6D56">
              <w:rPr>
                <w:rFonts w:ascii="Arial" w:hAnsi="Arial" w:cs="Arial"/>
                <w:color w:val="000000" w:themeColor="text1"/>
                <w:sz w:val="20"/>
                <w:szCs w:val="20"/>
              </w:rPr>
              <w:t>The company extracts oil sands.</w:t>
            </w:r>
          </w:p>
          <w:p w14:paraId="62D4E0BE" w14:textId="557C9CDC"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6D56">
              <w:rPr>
                <w:rFonts w:ascii="Arial" w:hAnsi="Arial" w:cs="Arial"/>
                <w:color w:val="000000" w:themeColor="text1"/>
                <w:sz w:val="20"/>
                <w:szCs w:val="20"/>
              </w:rPr>
              <w:t>(Proxy: Revenue) 0%</w:t>
            </w:r>
          </w:p>
        </w:tc>
        <w:tc>
          <w:tcPr>
            <w:tcW w:w="1843" w:type="dxa"/>
            <w:shd w:val="clear" w:color="auto" w:fill="D9E2F3" w:themeFill="accent1" w:themeFillTint="33"/>
          </w:tcPr>
          <w:p w14:paraId="064EB276" w14:textId="61C69D84" w:rsidR="00380109" w:rsidRPr="003C2124"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C2124">
              <w:rPr>
                <w:rFonts w:ascii="Arial" w:hAnsi="Arial" w:cs="Arial"/>
                <w:color w:val="000000" w:themeColor="text1"/>
                <w:sz w:val="20"/>
                <w:szCs w:val="20"/>
              </w:rPr>
              <w:t>The company extracts oil sands.</w:t>
            </w:r>
          </w:p>
          <w:p w14:paraId="1BBEC12D" w14:textId="289A8ED9"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C2124">
              <w:rPr>
                <w:rFonts w:ascii="Arial" w:hAnsi="Arial" w:cs="Arial"/>
                <w:color w:val="000000" w:themeColor="text1"/>
                <w:sz w:val="20"/>
                <w:szCs w:val="20"/>
              </w:rPr>
              <w:t>(Proxy: Capacity) 0%</w:t>
            </w:r>
          </w:p>
        </w:tc>
        <w:tc>
          <w:tcPr>
            <w:tcW w:w="1843" w:type="dxa"/>
          </w:tcPr>
          <w:p w14:paraId="0005A143"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73082682"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380109" w:rsidRPr="00EA1FCE" w14:paraId="423D2C7A" w14:textId="77777777" w:rsidTr="00E829FD">
        <w:trPr>
          <w:trHeight w:val="1154"/>
        </w:trPr>
        <w:tc>
          <w:tcPr>
            <w:cnfStyle w:val="001000000000" w:firstRow="0" w:lastRow="0" w:firstColumn="1" w:lastColumn="0" w:oddVBand="0" w:evenVBand="0" w:oddHBand="0" w:evenHBand="0" w:firstRowFirstColumn="0" w:firstRowLastColumn="0" w:lastRowFirstColumn="0" w:lastRowLastColumn="0"/>
            <w:tcW w:w="1419" w:type="dxa"/>
            <w:vMerge/>
          </w:tcPr>
          <w:p w14:paraId="751BFD76" w14:textId="77777777" w:rsidR="00380109" w:rsidRPr="00EA1FCE" w:rsidRDefault="00380109" w:rsidP="00380109">
            <w:pPr>
              <w:tabs>
                <w:tab w:val="left" w:pos="2268"/>
                <w:tab w:val="left" w:pos="2835"/>
              </w:tabs>
              <w:rPr>
                <w:rFonts w:ascii="Arial" w:hAnsi="Arial" w:cs="Arial"/>
                <w:color w:val="000000" w:themeColor="text1"/>
                <w:sz w:val="20"/>
                <w:szCs w:val="20"/>
              </w:rPr>
            </w:pPr>
          </w:p>
        </w:tc>
        <w:tc>
          <w:tcPr>
            <w:tcW w:w="2409" w:type="dxa"/>
            <w:vMerge/>
          </w:tcPr>
          <w:p w14:paraId="4DD78ACF" w14:textId="77777777" w:rsidR="00380109" w:rsidRPr="006A4DC2"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p>
        </w:tc>
        <w:tc>
          <w:tcPr>
            <w:tcW w:w="3544" w:type="dxa"/>
          </w:tcPr>
          <w:p w14:paraId="5205A728" w14:textId="77777777" w:rsidR="00380109" w:rsidRPr="007A4EA4"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7A4EA4">
              <w:rPr>
                <w:rFonts w:ascii="Arial" w:hAnsi="Arial" w:cs="Arial"/>
                <w:color w:val="000000" w:themeColor="text1"/>
                <w:sz w:val="20"/>
                <w:szCs w:val="20"/>
                <w:u w:val="single"/>
              </w:rPr>
              <w:t>Shale Energy:</w:t>
            </w:r>
          </w:p>
          <w:p w14:paraId="60F4F340" w14:textId="7E513C5C" w:rsidR="00380109" w:rsidRPr="00D51967"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A4EA4">
              <w:rPr>
                <w:rFonts w:ascii="Arial" w:hAnsi="Arial" w:cs="Arial"/>
                <w:color w:val="000000" w:themeColor="text1"/>
                <w:sz w:val="20"/>
                <w:szCs w:val="20"/>
              </w:rPr>
              <w:t>This involvement area provides an assessment of whether companies derive revenue from shale energy (gas and/or oil) extraction and/or production.</w:t>
            </w:r>
          </w:p>
        </w:tc>
        <w:tc>
          <w:tcPr>
            <w:tcW w:w="1842" w:type="dxa"/>
            <w:shd w:val="clear" w:color="auto" w:fill="D9E2F3" w:themeFill="accent1" w:themeFillTint="33"/>
          </w:tcPr>
          <w:p w14:paraId="3024C61A" w14:textId="093EBDD8"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66494">
              <w:rPr>
                <w:rFonts w:ascii="Arial" w:hAnsi="Arial" w:cs="Arial"/>
                <w:color w:val="000000" w:themeColor="text1"/>
                <w:sz w:val="20"/>
                <w:szCs w:val="20"/>
              </w:rPr>
              <w:t>The company is involved in shale energy exploration and/or production.  0%</w:t>
            </w:r>
          </w:p>
        </w:tc>
        <w:tc>
          <w:tcPr>
            <w:tcW w:w="1843" w:type="dxa"/>
          </w:tcPr>
          <w:p w14:paraId="0DD0A3D9"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182A6B7D"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2E6A61F8"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E49C3" w:rsidRPr="00EA1FCE" w14:paraId="4E6033ED" w14:textId="77777777" w:rsidTr="00E829FD">
        <w:trPr>
          <w:trHeight w:val="1154"/>
        </w:trPr>
        <w:tc>
          <w:tcPr>
            <w:cnfStyle w:val="001000000000" w:firstRow="0" w:lastRow="0" w:firstColumn="1" w:lastColumn="0" w:oddVBand="0" w:evenVBand="0" w:oddHBand="0" w:evenHBand="0" w:firstRowFirstColumn="0" w:firstRowLastColumn="0" w:lastRowFirstColumn="0" w:lastRowLastColumn="0"/>
            <w:tcW w:w="1419" w:type="dxa"/>
            <w:vMerge/>
          </w:tcPr>
          <w:p w14:paraId="3FE025CD" w14:textId="77777777" w:rsidR="00380109" w:rsidRPr="00EA1FCE" w:rsidRDefault="00380109" w:rsidP="00380109">
            <w:pPr>
              <w:tabs>
                <w:tab w:val="left" w:pos="2268"/>
                <w:tab w:val="left" w:pos="2835"/>
              </w:tabs>
              <w:rPr>
                <w:rFonts w:ascii="Arial" w:hAnsi="Arial" w:cs="Arial"/>
                <w:color w:val="000000" w:themeColor="text1"/>
                <w:sz w:val="20"/>
                <w:szCs w:val="20"/>
              </w:rPr>
            </w:pPr>
          </w:p>
        </w:tc>
        <w:tc>
          <w:tcPr>
            <w:tcW w:w="2409" w:type="dxa"/>
            <w:vMerge/>
          </w:tcPr>
          <w:p w14:paraId="15170F61" w14:textId="77777777" w:rsidR="00380109" w:rsidRPr="006A4DC2"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p>
        </w:tc>
        <w:tc>
          <w:tcPr>
            <w:tcW w:w="3544" w:type="dxa"/>
          </w:tcPr>
          <w:p w14:paraId="68994262" w14:textId="77777777" w:rsidR="00380109" w:rsidRPr="007A4EA4"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7A4EA4">
              <w:rPr>
                <w:rFonts w:ascii="Arial" w:hAnsi="Arial" w:cs="Arial"/>
                <w:color w:val="000000" w:themeColor="text1"/>
                <w:sz w:val="20"/>
                <w:szCs w:val="20"/>
                <w:u w:val="single"/>
              </w:rPr>
              <w:t>Thermal Coal:</w:t>
            </w:r>
          </w:p>
          <w:p w14:paraId="30B5B0EA" w14:textId="5A949AE4" w:rsidR="00380109" w:rsidRPr="00907152"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7A4EA4">
              <w:rPr>
                <w:rFonts w:ascii="Arial" w:hAnsi="Arial" w:cs="Arial"/>
                <w:color w:val="000000" w:themeColor="text1"/>
                <w:sz w:val="20"/>
                <w:szCs w:val="20"/>
              </w:rPr>
              <w:t xml:space="preserve">This involvement area provides an assessment of whether companies derive revenue from mining thermal coal or from generating electricity from thermal coal.  </w:t>
            </w:r>
          </w:p>
        </w:tc>
        <w:tc>
          <w:tcPr>
            <w:tcW w:w="1842" w:type="dxa"/>
            <w:shd w:val="clear" w:color="auto" w:fill="D9E2F3" w:themeFill="accent1" w:themeFillTint="33"/>
          </w:tcPr>
          <w:p w14:paraId="4550CF15" w14:textId="7F36F65F"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F3629">
              <w:rPr>
                <w:rFonts w:ascii="Arial" w:hAnsi="Arial" w:cs="Arial"/>
                <w:color w:val="000000" w:themeColor="text1"/>
                <w:sz w:val="20"/>
                <w:szCs w:val="20"/>
              </w:rPr>
              <w:t>The company extracts thermal coal.  0%</w:t>
            </w:r>
          </w:p>
        </w:tc>
        <w:tc>
          <w:tcPr>
            <w:tcW w:w="1843" w:type="dxa"/>
            <w:shd w:val="clear" w:color="auto" w:fill="E2EFD9" w:themeFill="accent6" w:themeFillTint="33"/>
          </w:tcPr>
          <w:p w14:paraId="48253CCF" w14:textId="33EFBEB8"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5438B">
              <w:rPr>
                <w:rFonts w:ascii="Arial" w:hAnsi="Arial" w:cs="Arial"/>
                <w:color w:val="000000" w:themeColor="text1"/>
                <w:sz w:val="20"/>
                <w:szCs w:val="20"/>
              </w:rPr>
              <w:t>The company generates electricity from thermal coal. (Proxy: Revenue) 5%</w:t>
            </w:r>
          </w:p>
        </w:tc>
        <w:tc>
          <w:tcPr>
            <w:tcW w:w="1843" w:type="dxa"/>
          </w:tcPr>
          <w:p w14:paraId="579AA56B"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62C8DA01"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E49C3" w:rsidRPr="00EA1FCE" w14:paraId="7368BC05" w14:textId="77777777" w:rsidTr="00E829FD">
        <w:trPr>
          <w:trHeight w:val="361"/>
        </w:trPr>
        <w:tc>
          <w:tcPr>
            <w:cnfStyle w:val="001000000000" w:firstRow="0" w:lastRow="0" w:firstColumn="1" w:lastColumn="0" w:oddVBand="0" w:evenVBand="0" w:oddHBand="0" w:evenHBand="0" w:firstRowFirstColumn="0" w:firstRowLastColumn="0" w:lastRowFirstColumn="0" w:lastRowLastColumn="0"/>
            <w:tcW w:w="1419" w:type="dxa"/>
          </w:tcPr>
          <w:p w14:paraId="55AB5F7E" w14:textId="77777777" w:rsidR="00380109" w:rsidRPr="00EA1FCE" w:rsidRDefault="00380109" w:rsidP="00380109">
            <w:pPr>
              <w:tabs>
                <w:tab w:val="left" w:pos="2268"/>
                <w:tab w:val="left" w:pos="2835"/>
              </w:tabs>
              <w:rPr>
                <w:rFonts w:ascii="Arial" w:hAnsi="Arial" w:cs="Arial"/>
                <w:b w:val="0"/>
                <w:bCs w:val="0"/>
                <w:color w:val="000000" w:themeColor="text1"/>
                <w:sz w:val="20"/>
                <w:szCs w:val="20"/>
              </w:rPr>
            </w:pPr>
            <w:r w:rsidRPr="00EA1FCE">
              <w:rPr>
                <w:rFonts w:ascii="Arial" w:hAnsi="Arial" w:cs="Arial"/>
                <w:b w:val="0"/>
                <w:bCs w:val="0"/>
                <w:color w:val="000000" w:themeColor="text1"/>
                <w:sz w:val="20"/>
                <w:szCs w:val="20"/>
              </w:rPr>
              <w:t>Nuclear power</w:t>
            </w:r>
          </w:p>
        </w:tc>
        <w:tc>
          <w:tcPr>
            <w:tcW w:w="2409" w:type="dxa"/>
          </w:tcPr>
          <w:p w14:paraId="2A7B3686" w14:textId="3A9BCA0D"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1FCE">
              <w:rPr>
                <w:rFonts w:ascii="Arial" w:hAnsi="Arial" w:cs="Arial"/>
                <w:color w:val="000000" w:themeColor="text1"/>
                <w:sz w:val="20"/>
                <w:szCs w:val="20"/>
              </w:rPr>
              <w:t>All companies generating (or that have installed capacity to generate) more than 5% of their electricity from nuclear sources.</w:t>
            </w:r>
          </w:p>
        </w:tc>
        <w:tc>
          <w:tcPr>
            <w:tcW w:w="3544" w:type="dxa"/>
          </w:tcPr>
          <w:p w14:paraId="22E98712" w14:textId="77777777" w:rsidR="00380109"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8901D8">
              <w:rPr>
                <w:rFonts w:ascii="Arial" w:hAnsi="Arial" w:cs="Arial"/>
                <w:color w:val="000000" w:themeColor="text1"/>
                <w:sz w:val="20"/>
                <w:szCs w:val="20"/>
                <w:u w:val="single"/>
              </w:rPr>
              <w:t>Nuclear Power:</w:t>
            </w:r>
          </w:p>
          <w:p w14:paraId="53E76CAC" w14:textId="5783EB7E" w:rsidR="00380109" w:rsidRPr="008901D8"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8901D8">
              <w:rPr>
                <w:rFonts w:ascii="Arial" w:hAnsi="Arial" w:cs="Arial"/>
                <w:color w:val="000000" w:themeColor="text1"/>
                <w:sz w:val="20"/>
                <w:szCs w:val="20"/>
              </w:rPr>
              <w:t>This involvement area provides an assessment of whether companies are involved in the production or distribution of energy from nuclear sources or developing products or services that support the nuclear power industry.</w:t>
            </w:r>
          </w:p>
        </w:tc>
        <w:tc>
          <w:tcPr>
            <w:tcW w:w="1842" w:type="dxa"/>
            <w:shd w:val="clear" w:color="auto" w:fill="E2EFD9" w:themeFill="accent6" w:themeFillTint="33"/>
          </w:tcPr>
          <w:p w14:paraId="7EF2AFC2" w14:textId="77777777" w:rsidR="00380109" w:rsidRPr="00EC2CAA"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C2CAA">
              <w:rPr>
                <w:rFonts w:ascii="Arial" w:hAnsi="Arial" w:cs="Arial"/>
                <w:color w:val="000000" w:themeColor="text1"/>
                <w:sz w:val="20"/>
                <w:szCs w:val="20"/>
              </w:rPr>
              <w:t>The company produces nuclear power.</w:t>
            </w:r>
          </w:p>
          <w:p w14:paraId="7040F2F3" w14:textId="3F4D9618"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C2CAA">
              <w:rPr>
                <w:rFonts w:ascii="Arial" w:hAnsi="Arial" w:cs="Arial"/>
                <w:color w:val="000000" w:themeColor="text1"/>
                <w:sz w:val="20"/>
                <w:szCs w:val="20"/>
              </w:rPr>
              <w:t>(Proxy: Revenue) 5%</w:t>
            </w:r>
          </w:p>
        </w:tc>
        <w:tc>
          <w:tcPr>
            <w:tcW w:w="1843" w:type="dxa"/>
            <w:shd w:val="clear" w:color="auto" w:fill="E2EFD9" w:themeFill="accent6" w:themeFillTint="33"/>
          </w:tcPr>
          <w:p w14:paraId="3D1C4A73" w14:textId="77777777" w:rsidR="00380109" w:rsidRPr="00AE431D"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E431D">
              <w:rPr>
                <w:rFonts w:ascii="Arial" w:hAnsi="Arial" w:cs="Arial"/>
                <w:color w:val="000000" w:themeColor="text1"/>
                <w:sz w:val="20"/>
                <w:szCs w:val="20"/>
              </w:rPr>
              <w:t>The company produces nuclear power.</w:t>
            </w:r>
          </w:p>
          <w:p w14:paraId="064B345E" w14:textId="0160DF92"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E431D">
              <w:rPr>
                <w:rFonts w:ascii="Arial" w:hAnsi="Arial" w:cs="Arial"/>
                <w:color w:val="000000" w:themeColor="text1"/>
                <w:sz w:val="20"/>
                <w:szCs w:val="20"/>
              </w:rPr>
              <w:t>(Proxy: Capacity) 5%</w:t>
            </w:r>
          </w:p>
        </w:tc>
        <w:tc>
          <w:tcPr>
            <w:tcW w:w="1843" w:type="dxa"/>
          </w:tcPr>
          <w:p w14:paraId="2447CFE9"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06B546C6" w14:textId="3D028226"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726950" w:rsidRPr="00EA1FCE" w14:paraId="316F224F" w14:textId="77777777" w:rsidTr="00E829FD">
        <w:trPr>
          <w:trHeight w:val="361"/>
        </w:trPr>
        <w:tc>
          <w:tcPr>
            <w:cnfStyle w:val="001000000000" w:firstRow="0" w:lastRow="0" w:firstColumn="1" w:lastColumn="0" w:oddVBand="0" w:evenVBand="0" w:oddHBand="0" w:evenHBand="0" w:firstRowFirstColumn="0" w:firstRowLastColumn="0" w:lastRowFirstColumn="0" w:lastRowLastColumn="0"/>
            <w:tcW w:w="1419" w:type="dxa"/>
          </w:tcPr>
          <w:p w14:paraId="1401FE76" w14:textId="77777777" w:rsidR="00380109" w:rsidRPr="00EA1FCE" w:rsidRDefault="00380109" w:rsidP="00380109">
            <w:pPr>
              <w:tabs>
                <w:tab w:val="left" w:pos="2268"/>
                <w:tab w:val="left" w:pos="2835"/>
              </w:tabs>
              <w:rPr>
                <w:rFonts w:ascii="Arial" w:hAnsi="Arial" w:cs="Arial"/>
                <w:b w:val="0"/>
                <w:bCs w:val="0"/>
                <w:color w:val="000000" w:themeColor="text1"/>
                <w:sz w:val="20"/>
                <w:szCs w:val="20"/>
              </w:rPr>
            </w:pPr>
            <w:r w:rsidRPr="00EA1FCE">
              <w:rPr>
                <w:rFonts w:ascii="Arial" w:hAnsi="Arial" w:cs="Arial"/>
                <w:b w:val="0"/>
                <w:bCs w:val="0"/>
                <w:color w:val="000000" w:themeColor="text1"/>
                <w:sz w:val="20"/>
                <w:szCs w:val="20"/>
              </w:rPr>
              <w:t>Tobacco</w:t>
            </w:r>
          </w:p>
        </w:tc>
        <w:tc>
          <w:tcPr>
            <w:tcW w:w="2409" w:type="dxa"/>
          </w:tcPr>
          <w:p w14:paraId="2B8BA50C" w14:textId="6512FFC8"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1FCE">
              <w:rPr>
                <w:rFonts w:ascii="Arial" w:hAnsi="Arial" w:cs="Arial"/>
                <w:color w:val="000000" w:themeColor="text1"/>
                <w:sz w:val="20"/>
                <w:szCs w:val="20"/>
              </w:rPr>
              <w:t xml:space="preserve">Producers and all companies that earn more than 5% of their revenue from the distribution, retail and </w:t>
            </w:r>
            <w:r w:rsidRPr="00EA1FCE">
              <w:rPr>
                <w:rFonts w:ascii="Arial" w:hAnsi="Arial" w:cs="Arial"/>
                <w:color w:val="000000" w:themeColor="text1"/>
                <w:sz w:val="20"/>
                <w:szCs w:val="20"/>
              </w:rPr>
              <w:lastRenderedPageBreak/>
              <w:t>supply of tobacco-related products</w:t>
            </w:r>
          </w:p>
        </w:tc>
        <w:tc>
          <w:tcPr>
            <w:tcW w:w="3544" w:type="dxa"/>
          </w:tcPr>
          <w:p w14:paraId="21CE9467" w14:textId="77777777" w:rsidR="00380109" w:rsidRPr="008901D8"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8901D8">
              <w:rPr>
                <w:rFonts w:ascii="Arial" w:hAnsi="Arial" w:cs="Arial"/>
                <w:color w:val="000000" w:themeColor="text1"/>
                <w:sz w:val="20"/>
                <w:szCs w:val="20"/>
                <w:u w:val="single"/>
              </w:rPr>
              <w:lastRenderedPageBreak/>
              <w:t>Tobacco Products:</w:t>
            </w:r>
          </w:p>
          <w:p w14:paraId="27478F55" w14:textId="75CC9443"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8901D8">
              <w:rPr>
                <w:rFonts w:ascii="Arial" w:hAnsi="Arial" w:cs="Arial"/>
                <w:color w:val="000000" w:themeColor="text1"/>
                <w:sz w:val="20"/>
                <w:szCs w:val="20"/>
              </w:rPr>
              <w:t xml:space="preserve">This involvement area provides an assessment of whether companies derive revenue from tobacco products including cigarettes, cigars, tobacco, electronic cigarettes, paper </w:t>
            </w:r>
            <w:r w:rsidRPr="008901D8">
              <w:rPr>
                <w:rFonts w:ascii="Arial" w:hAnsi="Arial" w:cs="Arial"/>
                <w:color w:val="000000" w:themeColor="text1"/>
                <w:sz w:val="20"/>
                <w:szCs w:val="20"/>
              </w:rPr>
              <w:lastRenderedPageBreak/>
              <w:t>used by end consumers for rolling cigarettes, filters, snuff tobacco, etc. It includes tobacco products manufacturers, retailers and distributors, as well as companies providing tobacco-related products or services.</w:t>
            </w:r>
          </w:p>
        </w:tc>
        <w:tc>
          <w:tcPr>
            <w:tcW w:w="1842" w:type="dxa"/>
            <w:shd w:val="clear" w:color="auto" w:fill="D9E2F3" w:themeFill="accent1" w:themeFillTint="33"/>
          </w:tcPr>
          <w:p w14:paraId="7F527EC6" w14:textId="441AEB38"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D4600">
              <w:rPr>
                <w:rFonts w:ascii="Arial" w:hAnsi="Arial" w:cs="Arial"/>
                <w:color w:val="000000" w:themeColor="text1"/>
                <w:sz w:val="20"/>
                <w:szCs w:val="20"/>
              </w:rPr>
              <w:lastRenderedPageBreak/>
              <w:t>The company manufactures tobacco products.  0%</w:t>
            </w:r>
          </w:p>
        </w:tc>
        <w:tc>
          <w:tcPr>
            <w:tcW w:w="1843" w:type="dxa"/>
            <w:shd w:val="clear" w:color="auto" w:fill="E2EFD9" w:themeFill="accent6" w:themeFillTint="33"/>
          </w:tcPr>
          <w:p w14:paraId="0AE9EA46" w14:textId="02B219B1"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64B07">
              <w:rPr>
                <w:rFonts w:ascii="Arial" w:hAnsi="Arial" w:cs="Arial"/>
                <w:color w:val="000000" w:themeColor="text1"/>
                <w:sz w:val="20"/>
                <w:szCs w:val="20"/>
              </w:rPr>
              <w:t>The company supplies tobacco-related products/services. 5%</w:t>
            </w:r>
          </w:p>
        </w:tc>
        <w:tc>
          <w:tcPr>
            <w:tcW w:w="1843" w:type="dxa"/>
            <w:shd w:val="clear" w:color="auto" w:fill="E2EFD9" w:themeFill="accent6" w:themeFillTint="33"/>
          </w:tcPr>
          <w:p w14:paraId="2AAB0EB4" w14:textId="196E8EE0"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3F73">
              <w:rPr>
                <w:rFonts w:ascii="Arial" w:hAnsi="Arial" w:cs="Arial"/>
                <w:color w:val="000000" w:themeColor="text1"/>
                <w:sz w:val="20"/>
                <w:szCs w:val="20"/>
              </w:rPr>
              <w:t xml:space="preserve">The company derives revenues from the distribution and/or retail sale of </w:t>
            </w:r>
            <w:r w:rsidRPr="00763F73">
              <w:rPr>
                <w:rFonts w:ascii="Arial" w:hAnsi="Arial" w:cs="Arial"/>
                <w:color w:val="000000" w:themeColor="text1"/>
                <w:sz w:val="20"/>
                <w:szCs w:val="20"/>
              </w:rPr>
              <w:lastRenderedPageBreak/>
              <w:t>tobacco products. 5%</w:t>
            </w:r>
          </w:p>
        </w:tc>
        <w:tc>
          <w:tcPr>
            <w:tcW w:w="1843" w:type="dxa"/>
          </w:tcPr>
          <w:p w14:paraId="1AD67C66" w14:textId="04D2EBC1"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E49C3" w:rsidRPr="00EA1FCE" w14:paraId="692392A8" w14:textId="77777777" w:rsidTr="00E829FD">
        <w:trPr>
          <w:trHeight w:val="361"/>
        </w:trPr>
        <w:tc>
          <w:tcPr>
            <w:cnfStyle w:val="001000000000" w:firstRow="0" w:lastRow="0" w:firstColumn="1" w:lastColumn="0" w:oddVBand="0" w:evenVBand="0" w:oddHBand="0" w:evenHBand="0" w:firstRowFirstColumn="0" w:firstRowLastColumn="0" w:lastRowFirstColumn="0" w:lastRowLastColumn="0"/>
            <w:tcW w:w="1419" w:type="dxa"/>
          </w:tcPr>
          <w:p w14:paraId="0F83EE98" w14:textId="77777777" w:rsidR="00380109" w:rsidRPr="00EA1FCE" w:rsidRDefault="00380109" w:rsidP="00380109">
            <w:pPr>
              <w:tabs>
                <w:tab w:val="left" w:pos="2268"/>
                <w:tab w:val="left" w:pos="2835"/>
              </w:tabs>
              <w:rPr>
                <w:rFonts w:ascii="Arial" w:hAnsi="Arial" w:cs="Arial"/>
                <w:b w:val="0"/>
                <w:bCs w:val="0"/>
                <w:color w:val="000000" w:themeColor="text1"/>
                <w:sz w:val="20"/>
                <w:szCs w:val="20"/>
              </w:rPr>
            </w:pPr>
            <w:r w:rsidRPr="00EA1FCE">
              <w:rPr>
                <w:rFonts w:ascii="Arial" w:hAnsi="Arial" w:cs="Arial"/>
                <w:b w:val="0"/>
                <w:bCs w:val="0"/>
                <w:color w:val="000000" w:themeColor="text1"/>
                <w:sz w:val="20"/>
                <w:szCs w:val="20"/>
              </w:rPr>
              <w:t>Palm oil</w:t>
            </w:r>
          </w:p>
        </w:tc>
        <w:tc>
          <w:tcPr>
            <w:tcW w:w="2409" w:type="dxa"/>
          </w:tcPr>
          <w:p w14:paraId="5364F20B" w14:textId="0821B8D5" w:rsidR="00380109" w:rsidRPr="00D51967"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1967">
              <w:rPr>
                <w:rFonts w:ascii="Arial" w:hAnsi="Arial" w:cs="Arial"/>
                <w:color w:val="000000" w:themeColor="text1"/>
                <w:sz w:val="20"/>
                <w:szCs w:val="20"/>
              </w:rPr>
              <w:t>All producers and any companies that earn revenue from the distribution and supply of palm oil</w:t>
            </w:r>
          </w:p>
        </w:tc>
        <w:tc>
          <w:tcPr>
            <w:tcW w:w="3544" w:type="dxa"/>
          </w:tcPr>
          <w:p w14:paraId="58E7E6A2" w14:textId="77777777" w:rsidR="00380109" w:rsidRPr="00063243"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063243">
              <w:rPr>
                <w:rFonts w:ascii="Arial" w:hAnsi="Arial" w:cs="Arial"/>
                <w:color w:val="000000" w:themeColor="text1"/>
                <w:sz w:val="20"/>
                <w:szCs w:val="20"/>
                <w:u w:val="single"/>
              </w:rPr>
              <w:t>Palm Oil:</w:t>
            </w:r>
          </w:p>
          <w:p w14:paraId="62A66C02" w14:textId="4467A89B"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63243">
              <w:rPr>
                <w:rFonts w:ascii="Arial" w:hAnsi="Arial" w:cs="Arial"/>
                <w:color w:val="000000" w:themeColor="text1"/>
                <w:sz w:val="20"/>
                <w:szCs w:val="20"/>
              </w:rPr>
              <w:t>This involvement area provides an assessment of whether companies derive revenue from palm oil production and/or distribution.</w:t>
            </w:r>
          </w:p>
        </w:tc>
        <w:tc>
          <w:tcPr>
            <w:tcW w:w="1842" w:type="dxa"/>
            <w:shd w:val="clear" w:color="auto" w:fill="D9E2F3" w:themeFill="accent1" w:themeFillTint="33"/>
          </w:tcPr>
          <w:p w14:paraId="258A64AA" w14:textId="60BBD2F4"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F32ED">
              <w:rPr>
                <w:rFonts w:ascii="Arial" w:hAnsi="Arial" w:cs="Arial"/>
                <w:color w:val="000000" w:themeColor="text1"/>
                <w:sz w:val="20"/>
                <w:szCs w:val="20"/>
              </w:rPr>
              <w:t>The company is involved in the production and/or distribution of palm oil.  0%</w:t>
            </w:r>
          </w:p>
        </w:tc>
        <w:tc>
          <w:tcPr>
            <w:tcW w:w="1843" w:type="dxa"/>
          </w:tcPr>
          <w:p w14:paraId="03B5EB89"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4BB6AAB4"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4944A2BA" w14:textId="229F135D"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E49C3" w:rsidRPr="00EA1FCE" w14:paraId="4AD21BE6" w14:textId="77777777" w:rsidTr="00E829FD">
        <w:trPr>
          <w:trHeight w:val="361"/>
        </w:trPr>
        <w:tc>
          <w:tcPr>
            <w:cnfStyle w:val="001000000000" w:firstRow="0" w:lastRow="0" w:firstColumn="1" w:lastColumn="0" w:oddVBand="0" w:evenVBand="0" w:oddHBand="0" w:evenHBand="0" w:firstRowFirstColumn="0" w:firstRowLastColumn="0" w:lastRowFirstColumn="0" w:lastRowLastColumn="0"/>
            <w:tcW w:w="1419" w:type="dxa"/>
          </w:tcPr>
          <w:p w14:paraId="14BE361D" w14:textId="77777777" w:rsidR="00380109" w:rsidRPr="00EA1FCE" w:rsidRDefault="00380109" w:rsidP="00380109">
            <w:pPr>
              <w:tabs>
                <w:tab w:val="left" w:pos="2268"/>
                <w:tab w:val="left" w:pos="2835"/>
              </w:tabs>
              <w:rPr>
                <w:rFonts w:ascii="Arial" w:hAnsi="Arial" w:cs="Arial"/>
                <w:b w:val="0"/>
                <w:bCs w:val="0"/>
                <w:color w:val="000000" w:themeColor="text1"/>
                <w:sz w:val="20"/>
                <w:szCs w:val="20"/>
              </w:rPr>
            </w:pPr>
            <w:r w:rsidRPr="00EA1FCE">
              <w:rPr>
                <w:rFonts w:ascii="Arial" w:hAnsi="Arial" w:cs="Arial"/>
                <w:b w:val="0"/>
                <w:bCs w:val="0"/>
                <w:color w:val="000000" w:themeColor="text1"/>
                <w:sz w:val="20"/>
                <w:szCs w:val="20"/>
              </w:rPr>
              <w:t>Whale products</w:t>
            </w:r>
          </w:p>
        </w:tc>
        <w:tc>
          <w:tcPr>
            <w:tcW w:w="2409" w:type="dxa"/>
          </w:tcPr>
          <w:p w14:paraId="602EAC68" w14:textId="1D02CCA6" w:rsidR="00380109" w:rsidRPr="00AF2D5D"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D51967">
              <w:rPr>
                <w:rFonts w:ascii="Arial" w:hAnsi="Arial" w:cs="Arial"/>
                <w:color w:val="000000" w:themeColor="text1"/>
                <w:sz w:val="20"/>
                <w:szCs w:val="20"/>
              </w:rPr>
              <w:t>Companies that derive revenue from whale meat production.</w:t>
            </w:r>
          </w:p>
        </w:tc>
        <w:tc>
          <w:tcPr>
            <w:tcW w:w="3544" w:type="dxa"/>
          </w:tcPr>
          <w:p w14:paraId="1B08BE2E" w14:textId="77777777" w:rsidR="00380109" w:rsidRPr="00063243"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063243">
              <w:rPr>
                <w:rFonts w:ascii="Arial" w:hAnsi="Arial" w:cs="Arial"/>
                <w:color w:val="000000" w:themeColor="text1"/>
                <w:sz w:val="20"/>
                <w:szCs w:val="20"/>
                <w:u w:val="single"/>
              </w:rPr>
              <w:t>Whale Meat:</w:t>
            </w:r>
          </w:p>
          <w:p w14:paraId="7999029F" w14:textId="6789ED16"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63243">
              <w:rPr>
                <w:rFonts w:ascii="Arial" w:hAnsi="Arial" w:cs="Arial"/>
                <w:color w:val="000000" w:themeColor="text1"/>
                <w:sz w:val="20"/>
                <w:szCs w:val="20"/>
              </w:rPr>
              <w:t>This involvement area provides an assessment of whether companies derive revenue from whale meat production.</w:t>
            </w:r>
          </w:p>
        </w:tc>
        <w:tc>
          <w:tcPr>
            <w:tcW w:w="1842" w:type="dxa"/>
            <w:shd w:val="clear" w:color="auto" w:fill="D9E2F3" w:themeFill="accent1" w:themeFillTint="33"/>
          </w:tcPr>
          <w:p w14:paraId="7E067CBA" w14:textId="732AE1ED"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B3991">
              <w:rPr>
                <w:rFonts w:ascii="Arial" w:hAnsi="Arial" w:cs="Arial"/>
                <w:color w:val="000000" w:themeColor="text1"/>
                <w:sz w:val="20"/>
                <w:szCs w:val="20"/>
              </w:rPr>
              <w:t>The company processes whale meat. 0%</w:t>
            </w:r>
          </w:p>
        </w:tc>
        <w:tc>
          <w:tcPr>
            <w:tcW w:w="1843" w:type="dxa"/>
          </w:tcPr>
          <w:p w14:paraId="4F180FCA"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49E86B2C"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59EBEC39" w14:textId="1A0EEEB6"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E49C3" w:rsidRPr="00EA1FCE" w14:paraId="61CBBC8B" w14:textId="77777777" w:rsidTr="00E829FD">
        <w:trPr>
          <w:trHeight w:val="1085"/>
        </w:trPr>
        <w:tc>
          <w:tcPr>
            <w:cnfStyle w:val="001000000000" w:firstRow="0" w:lastRow="0" w:firstColumn="1" w:lastColumn="0" w:oddVBand="0" w:evenVBand="0" w:oddHBand="0" w:evenHBand="0" w:firstRowFirstColumn="0" w:firstRowLastColumn="0" w:lastRowFirstColumn="0" w:lastRowLastColumn="0"/>
            <w:tcW w:w="1419" w:type="dxa"/>
          </w:tcPr>
          <w:p w14:paraId="7985348C" w14:textId="77777777" w:rsidR="00380109" w:rsidRPr="00EA1FCE" w:rsidRDefault="00380109" w:rsidP="00380109">
            <w:pPr>
              <w:tabs>
                <w:tab w:val="left" w:pos="2268"/>
                <w:tab w:val="left" w:pos="2835"/>
              </w:tabs>
              <w:rPr>
                <w:rFonts w:ascii="Arial" w:hAnsi="Arial" w:cs="Arial"/>
                <w:b w:val="0"/>
                <w:bCs w:val="0"/>
                <w:color w:val="000000" w:themeColor="text1"/>
                <w:sz w:val="20"/>
                <w:szCs w:val="20"/>
              </w:rPr>
            </w:pPr>
            <w:r w:rsidRPr="00EA1FCE">
              <w:rPr>
                <w:rFonts w:ascii="Arial" w:hAnsi="Arial" w:cs="Arial"/>
                <w:b w:val="0"/>
                <w:bCs w:val="0"/>
                <w:color w:val="000000" w:themeColor="text1"/>
                <w:sz w:val="20"/>
                <w:szCs w:val="20"/>
              </w:rPr>
              <w:t>UN Global Compact violators</w:t>
            </w:r>
          </w:p>
        </w:tc>
        <w:tc>
          <w:tcPr>
            <w:tcW w:w="2409" w:type="dxa"/>
          </w:tcPr>
          <w:p w14:paraId="063DD194"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3544" w:type="dxa"/>
          </w:tcPr>
          <w:p w14:paraId="4076A319" w14:textId="77777777" w:rsidR="00380109" w:rsidRPr="00AA380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A380E">
              <w:rPr>
                <w:rFonts w:ascii="Arial" w:hAnsi="Arial" w:cs="Arial"/>
                <w:color w:val="000000" w:themeColor="text1"/>
                <w:sz w:val="20"/>
                <w:szCs w:val="20"/>
              </w:rPr>
              <w:t xml:space="preserve">A company is assessed as Non-Compliant with the UN Global Compact principles when it is </w:t>
            </w:r>
          </w:p>
          <w:p w14:paraId="225BC55C" w14:textId="77777777" w:rsidR="00380109" w:rsidRPr="00AA380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A380E">
              <w:rPr>
                <w:rFonts w:ascii="Arial" w:hAnsi="Arial" w:cs="Arial"/>
                <w:color w:val="000000" w:themeColor="text1"/>
                <w:sz w:val="20"/>
                <w:szCs w:val="20"/>
              </w:rPr>
              <w:t xml:space="preserve">determined to be causing or contributing to severe or systemic and/or systematic violations </w:t>
            </w:r>
          </w:p>
          <w:p w14:paraId="35AF14A4" w14:textId="77777777" w:rsidR="00380109" w:rsidRPr="00AA380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A380E">
              <w:rPr>
                <w:rFonts w:ascii="Arial" w:hAnsi="Arial" w:cs="Arial"/>
                <w:color w:val="000000" w:themeColor="text1"/>
                <w:sz w:val="20"/>
                <w:szCs w:val="20"/>
              </w:rPr>
              <w:t xml:space="preserve">of international norms. In other words, a company is assessed as Non-Compliant when it does </w:t>
            </w:r>
          </w:p>
          <w:p w14:paraId="18B7B697" w14:textId="77777777" w:rsidR="00380109" w:rsidRPr="00AA380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A380E">
              <w:rPr>
                <w:rFonts w:ascii="Arial" w:hAnsi="Arial" w:cs="Arial"/>
                <w:color w:val="000000" w:themeColor="text1"/>
                <w:sz w:val="20"/>
                <w:szCs w:val="20"/>
              </w:rPr>
              <w:t xml:space="preserve">not act in accordance with the principles and their associated standards, conventions and </w:t>
            </w:r>
          </w:p>
          <w:p w14:paraId="0C9DD1D7" w14:textId="7721E8AE"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A380E">
              <w:rPr>
                <w:rFonts w:ascii="Arial" w:hAnsi="Arial" w:cs="Arial"/>
                <w:color w:val="000000" w:themeColor="text1"/>
                <w:sz w:val="20"/>
                <w:szCs w:val="20"/>
              </w:rPr>
              <w:t>treaties, according to our framework.</w:t>
            </w:r>
          </w:p>
        </w:tc>
        <w:tc>
          <w:tcPr>
            <w:tcW w:w="1842" w:type="dxa"/>
            <w:shd w:val="clear" w:color="auto" w:fill="D9E2F3" w:themeFill="accent1" w:themeFillTint="33"/>
          </w:tcPr>
          <w:p w14:paraId="1D87EBFD" w14:textId="628B6354"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A company is non-compliant.</w:t>
            </w:r>
          </w:p>
        </w:tc>
        <w:tc>
          <w:tcPr>
            <w:tcW w:w="1843" w:type="dxa"/>
          </w:tcPr>
          <w:p w14:paraId="05286539"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73F1AEC2" w14:textId="77777777"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843" w:type="dxa"/>
          </w:tcPr>
          <w:p w14:paraId="02751C4F" w14:textId="3697ADC2" w:rsidR="00380109" w:rsidRPr="00EA1FCE" w:rsidRDefault="00380109" w:rsidP="00380109">
            <w:pPr>
              <w:tabs>
                <w:tab w:val="left" w:pos="2268"/>
                <w:tab w:val="left" w:pos="2835"/>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bl>
    <w:p w14:paraId="73655026" w14:textId="77777777" w:rsidR="006A4B15" w:rsidRDefault="006A4B15" w:rsidP="00563B17">
      <w:pPr>
        <w:rPr>
          <w:rFonts w:ascii="Arial" w:hAnsi="Arial" w:cs="Arial"/>
          <w:b/>
          <w:bCs/>
        </w:rPr>
      </w:pPr>
    </w:p>
    <w:p w14:paraId="0851506E" w14:textId="77777777" w:rsidR="00B2115A" w:rsidRDefault="00B2115A">
      <w:pPr>
        <w:rPr>
          <w:rFonts w:ascii="Arial" w:hAnsi="Arial" w:cs="Arial"/>
          <w:b/>
          <w:bCs/>
        </w:rPr>
      </w:pPr>
      <w:r>
        <w:rPr>
          <w:rFonts w:ascii="Arial" w:hAnsi="Arial" w:cs="Arial"/>
          <w:b/>
          <w:bCs/>
        </w:rPr>
        <w:t>Key:</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6379"/>
      </w:tblGrid>
      <w:tr w:rsidR="00400A82" w:rsidRPr="00CF6A88" w14:paraId="46D1CB2A" w14:textId="77777777" w:rsidTr="00327910">
        <w:trPr>
          <w:trHeight w:val="424"/>
        </w:trPr>
        <w:tc>
          <w:tcPr>
            <w:tcW w:w="6374" w:type="dxa"/>
            <w:shd w:val="clear" w:color="auto" w:fill="D9E2F3" w:themeFill="accent1" w:themeFillTint="33"/>
            <w:vAlign w:val="center"/>
            <w:hideMark/>
          </w:tcPr>
          <w:p w14:paraId="5ACD7A6B" w14:textId="1CEBFA59" w:rsidR="00400A82" w:rsidRPr="00400A82" w:rsidRDefault="00400A82" w:rsidP="00400A82">
            <w:pPr>
              <w:spacing w:after="0" w:line="240" w:lineRule="auto"/>
              <w:rPr>
                <w:rFonts w:ascii="Arial" w:eastAsia="Times New Roman" w:hAnsi="Arial" w:cs="Arial"/>
                <w:color w:val="000000"/>
                <w:sz w:val="20"/>
                <w:szCs w:val="20"/>
                <w:lang w:eastAsia="en-NZ"/>
              </w:rPr>
            </w:pPr>
            <w:r w:rsidRPr="00400A82">
              <w:rPr>
                <w:rFonts w:ascii="Arial" w:eastAsia="Times New Roman" w:hAnsi="Arial" w:cs="Arial"/>
                <w:color w:val="000000"/>
                <w:sz w:val="20"/>
                <w:szCs w:val="20"/>
                <w:lang w:eastAsia="en-NZ"/>
              </w:rPr>
              <w:t>No exposure and no significant ownership</w:t>
            </w:r>
            <w:r w:rsidR="00FF5A70">
              <w:rPr>
                <w:rFonts w:ascii="Arial" w:eastAsia="Times New Roman" w:hAnsi="Arial" w:cs="Arial"/>
                <w:color w:val="000000"/>
                <w:sz w:val="20"/>
                <w:szCs w:val="20"/>
                <w:lang w:eastAsia="en-NZ"/>
              </w:rPr>
              <w:t xml:space="preserve"> (10% or more)</w:t>
            </w:r>
            <w:r w:rsidRPr="00400A82">
              <w:rPr>
                <w:rFonts w:ascii="Arial" w:eastAsia="Times New Roman" w:hAnsi="Arial" w:cs="Arial"/>
                <w:color w:val="000000"/>
                <w:sz w:val="20"/>
                <w:szCs w:val="20"/>
                <w:lang w:eastAsia="en-NZ"/>
              </w:rPr>
              <w:t xml:space="preserve"> allowed</w:t>
            </w:r>
          </w:p>
        </w:tc>
        <w:tc>
          <w:tcPr>
            <w:tcW w:w="6379" w:type="dxa"/>
            <w:shd w:val="clear" w:color="auto" w:fill="E2EFD9" w:themeFill="accent6" w:themeFillTint="33"/>
            <w:vAlign w:val="center"/>
            <w:hideMark/>
          </w:tcPr>
          <w:p w14:paraId="17DE50E3" w14:textId="2256CF8C" w:rsidR="00400A82" w:rsidRPr="00400A82" w:rsidRDefault="00AA3315" w:rsidP="00400A8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U</w:t>
            </w:r>
            <w:r w:rsidR="00400A82" w:rsidRPr="00400A82">
              <w:rPr>
                <w:rFonts w:ascii="Arial" w:eastAsia="Times New Roman" w:hAnsi="Arial" w:cs="Arial"/>
                <w:color w:val="000000"/>
                <w:sz w:val="20"/>
                <w:szCs w:val="20"/>
                <w:lang w:eastAsia="en-NZ"/>
              </w:rPr>
              <w:t>p to 5% exposure allowed</w:t>
            </w:r>
            <w:r w:rsidR="00AF40DA">
              <w:rPr>
                <w:rFonts w:ascii="Arial" w:eastAsia="Times New Roman" w:hAnsi="Arial" w:cs="Arial"/>
                <w:color w:val="000000"/>
                <w:sz w:val="20"/>
                <w:szCs w:val="20"/>
                <w:lang w:eastAsia="en-NZ"/>
              </w:rPr>
              <w:t xml:space="preserve"> (including 50% ownership or more of other companies)</w:t>
            </w:r>
          </w:p>
        </w:tc>
      </w:tr>
    </w:tbl>
    <w:p w14:paraId="646F5FBD" w14:textId="56B54BA1" w:rsidR="00B06629" w:rsidRDefault="00B564BE" w:rsidP="00563B17">
      <w:pPr>
        <w:rPr>
          <w:rFonts w:ascii="Arial" w:hAnsi="Arial" w:cs="Arial"/>
          <w:b/>
          <w:bCs/>
        </w:rPr>
      </w:pPr>
      <w:r>
        <w:rPr>
          <w:rFonts w:ascii="Arial" w:hAnsi="Arial" w:cs="Arial"/>
          <w:b/>
          <w:bCs/>
        </w:rPr>
        <w:lastRenderedPageBreak/>
        <w:t>We also apply below exclusi</w:t>
      </w:r>
      <w:r w:rsidR="00F35F0E">
        <w:rPr>
          <w:rFonts w:ascii="Arial" w:hAnsi="Arial" w:cs="Arial"/>
          <w:b/>
          <w:bCs/>
        </w:rPr>
        <w:t>ons</w:t>
      </w:r>
      <w:r>
        <w:rPr>
          <w:rFonts w:ascii="Arial" w:hAnsi="Arial" w:cs="Arial"/>
          <w:b/>
          <w:bCs/>
        </w:rPr>
        <w:t>:</w:t>
      </w:r>
    </w:p>
    <w:p w14:paraId="36D186AE" w14:textId="3B3BABB1" w:rsidR="00FA7E93" w:rsidRDefault="00FA7E93" w:rsidP="00EC5EFD">
      <w:pPr>
        <w:rPr>
          <w:rFonts w:ascii="Arial" w:hAnsi="Arial" w:cs="Arial"/>
          <w:b/>
          <w:bCs/>
        </w:rPr>
      </w:pPr>
    </w:p>
    <w:p w14:paraId="7B367CAA" w14:textId="784CEFF1" w:rsidR="007C4705" w:rsidRPr="00A53441" w:rsidRDefault="007C4705" w:rsidP="00A53441">
      <w:pPr>
        <w:pStyle w:val="ListParagraph"/>
        <w:numPr>
          <w:ilvl w:val="0"/>
          <w:numId w:val="11"/>
        </w:numPr>
        <w:rPr>
          <w:rFonts w:ascii="Arial" w:hAnsi="Arial" w:cs="Arial"/>
        </w:rPr>
      </w:pPr>
      <w:r w:rsidRPr="00A53441">
        <w:rPr>
          <w:rFonts w:ascii="Arial" w:hAnsi="Arial" w:cs="Arial"/>
        </w:rPr>
        <w:t>Primary Industry Exclusions as defined by GICS codes</w:t>
      </w:r>
    </w:p>
    <w:p w14:paraId="291B73F0" w14:textId="1DA750C0" w:rsidR="00EC5EFD" w:rsidRPr="007C4705" w:rsidRDefault="00EC5EFD" w:rsidP="00A53441">
      <w:pPr>
        <w:pStyle w:val="ListParagraph"/>
        <w:numPr>
          <w:ilvl w:val="1"/>
          <w:numId w:val="11"/>
        </w:numPr>
        <w:rPr>
          <w:rFonts w:ascii="Arial" w:hAnsi="Arial" w:cs="Arial"/>
        </w:rPr>
      </w:pPr>
      <w:r w:rsidRPr="007C4705">
        <w:rPr>
          <w:rFonts w:ascii="Arial" w:hAnsi="Arial" w:cs="Arial"/>
        </w:rPr>
        <w:t>Coal</w:t>
      </w:r>
    </w:p>
    <w:p w14:paraId="1D3B8E10" w14:textId="77777777" w:rsidR="00EC5EFD" w:rsidRPr="007C4705" w:rsidRDefault="00EC5EFD" w:rsidP="00A53441">
      <w:pPr>
        <w:pStyle w:val="ListParagraph"/>
        <w:numPr>
          <w:ilvl w:val="1"/>
          <w:numId w:val="11"/>
        </w:numPr>
        <w:rPr>
          <w:rFonts w:ascii="Arial" w:hAnsi="Arial" w:cs="Arial"/>
        </w:rPr>
      </w:pPr>
      <w:r w:rsidRPr="007C4705">
        <w:rPr>
          <w:rFonts w:ascii="Arial" w:hAnsi="Arial" w:cs="Arial"/>
        </w:rPr>
        <w:t>Integrated Oil &amp; Gas</w:t>
      </w:r>
    </w:p>
    <w:p w14:paraId="10C5C76B" w14:textId="77777777" w:rsidR="00EC5EFD" w:rsidRPr="007C4705" w:rsidRDefault="00EC5EFD" w:rsidP="00A53441">
      <w:pPr>
        <w:pStyle w:val="ListParagraph"/>
        <w:numPr>
          <w:ilvl w:val="1"/>
          <w:numId w:val="11"/>
        </w:numPr>
        <w:rPr>
          <w:rFonts w:ascii="Arial" w:hAnsi="Arial" w:cs="Arial"/>
        </w:rPr>
      </w:pPr>
      <w:r w:rsidRPr="007C4705">
        <w:rPr>
          <w:rFonts w:ascii="Arial" w:hAnsi="Arial" w:cs="Arial"/>
        </w:rPr>
        <w:t>Oil &amp; Gas Drilling</w:t>
      </w:r>
    </w:p>
    <w:p w14:paraId="0E8011EA" w14:textId="77777777" w:rsidR="00EC5EFD" w:rsidRPr="007C4705" w:rsidRDefault="00EC5EFD" w:rsidP="00A53441">
      <w:pPr>
        <w:pStyle w:val="ListParagraph"/>
        <w:numPr>
          <w:ilvl w:val="1"/>
          <w:numId w:val="11"/>
        </w:numPr>
        <w:rPr>
          <w:rFonts w:ascii="Arial" w:hAnsi="Arial" w:cs="Arial"/>
        </w:rPr>
      </w:pPr>
      <w:r w:rsidRPr="007C4705">
        <w:rPr>
          <w:rFonts w:ascii="Arial" w:hAnsi="Arial" w:cs="Arial"/>
        </w:rPr>
        <w:t>Oil &amp; Gas Equipment</w:t>
      </w:r>
    </w:p>
    <w:p w14:paraId="623C00C4" w14:textId="77777777" w:rsidR="00EC5EFD" w:rsidRPr="007C4705" w:rsidRDefault="00EC5EFD" w:rsidP="00A53441">
      <w:pPr>
        <w:pStyle w:val="ListParagraph"/>
        <w:numPr>
          <w:ilvl w:val="1"/>
          <w:numId w:val="11"/>
        </w:numPr>
        <w:rPr>
          <w:rFonts w:ascii="Arial" w:hAnsi="Arial" w:cs="Arial"/>
        </w:rPr>
      </w:pPr>
      <w:r w:rsidRPr="007C4705">
        <w:rPr>
          <w:rFonts w:ascii="Arial" w:hAnsi="Arial" w:cs="Arial"/>
        </w:rPr>
        <w:t>Oil &amp; Gas Exploration and Production</w:t>
      </w:r>
    </w:p>
    <w:p w14:paraId="7B74B2FE" w14:textId="115C93A9" w:rsidR="00B06629" w:rsidRDefault="00EC5EFD" w:rsidP="00A53441">
      <w:pPr>
        <w:pStyle w:val="ListParagraph"/>
        <w:numPr>
          <w:ilvl w:val="1"/>
          <w:numId w:val="11"/>
        </w:numPr>
        <w:rPr>
          <w:rFonts w:ascii="Arial" w:hAnsi="Arial" w:cs="Arial"/>
        </w:rPr>
      </w:pPr>
      <w:r w:rsidRPr="007C4705">
        <w:rPr>
          <w:rFonts w:ascii="Arial" w:hAnsi="Arial" w:cs="Arial"/>
        </w:rPr>
        <w:t>Tobacco</w:t>
      </w:r>
    </w:p>
    <w:p w14:paraId="2A3970E9" w14:textId="2D277B17" w:rsidR="00A53441" w:rsidRDefault="00A53441" w:rsidP="00A53441">
      <w:pPr>
        <w:pStyle w:val="ListParagraph"/>
        <w:ind w:left="360"/>
        <w:rPr>
          <w:rFonts w:ascii="Arial" w:hAnsi="Arial" w:cs="Arial"/>
        </w:rPr>
      </w:pPr>
    </w:p>
    <w:p w14:paraId="2799828D" w14:textId="593AFC14" w:rsidR="007C4705" w:rsidRPr="00A53441" w:rsidRDefault="00D156A7" w:rsidP="00A53441">
      <w:pPr>
        <w:pStyle w:val="ListParagraph"/>
        <w:numPr>
          <w:ilvl w:val="0"/>
          <w:numId w:val="11"/>
        </w:numPr>
        <w:rPr>
          <w:rFonts w:ascii="Arial" w:hAnsi="Arial" w:cs="Arial"/>
        </w:rPr>
      </w:pPr>
      <w:r w:rsidRPr="00A53441">
        <w:rPr>
          <w:rFonts w:ascii="Arial" w:hAnsi="Arial" w:cs="Arial"/>
        </w:rPr>
        <w:t xml:space="preserve">NZ Super Fund Exclusion list </w:t>
      </w:r>
      <w:r w:rsidR="00B564BE">
        <w:rPr>
          <w:rFonts w:ascii="Arial" w:hAnsi="Arial" w:cs="Arial"/>
        </w:rPr>
        <w:t>(</w:t>
      </w:r>
      <w:r w:rsidRPr="00A53441">
        <w:rPr>
          <w:rFonts w:ascii="Arial" w:hAnsi="Arial" w:cs="Arial"/>
        </w:rPr>
        <w:t>as published on their website periodically</w:t>
      </w:r>
      <w:r w:rsidR="00B564BE">
        <w:rPr>
          <w:rFonts w:ascii="Arial" w:hAnsi="Arial" w:cs="Arial"/>
        </w:rPr>
        <w:t>)</w:t>
      </w:r>
      <w:bookmarkStart w:id="0" w:name="_GoBack"/>
      <w:bookmarkEnd w:id="0"/>
    </w:p>
    <w:sectPr w:rsidR="007C4705" w:rsidRPr="00A53441" w:rsidSect="005C0D8C">
      <w:pgSz w:w="16838" w:h="11906" w:orient="landscape"/>
      <w:pgMar w:top="1440" w:right="1440" w:bottom="1134"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5C28E7D" w16cex:dateUtc="2021-06-21T01:15:00Z"/>
  <w16cex:commentExtensible w16cex:durableId="5E958A06" w16cex:dateUtc="2021-06-21T01:15:00Z"/>
  <w16cex:commentExtensible w16cex:durableId="6887C0A7" w16cex:dateUtc="2021-06-21T01:15:00Z"/>
  <w16cex:commentExtensible w16cex:durableId="225115E3" w16cex:dateUtc="2021-06-21T03:31:00Z"/>
  <w16cex:commentExtensible w16cex:durableId="1C33C1AE" w16cex:dateUtc="2021-06-21T03:32:00Z"/>
  <w16cex:commentExtensible w16cex:durableId="4F6C1434" w16cex:dateUtc="2021-06-21T03:32:00Z"/>
  <w16cex:commentExtensible w16cex:durableId="7159F7A1" w16cex:dateUtc="2021-06-21T03: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381D" w14:textId="77777777" w:rsidR="00206D37" w:rsidRDefault="00206D37" w:rsidP="00563B17">
      <w:pPr>
        <w:spacing w:after="0" w:line="240" w:lineRule="auto"/>
      </w:pPr>
      <w:r>
        <w:separator/>
      </w:r>
    </w:p>
  </w:endnote>
  <w:endnote w:type="continuationSeparator" w:id="0">
    <w:p w14:paraId="25350CEC" w14:textId="77777777" w:rsidR="00206D37" w:rsidRDefault="00206D37" w:rsidP="00563B17">
      <w:pPr>
        <w:spacing w:after="0" w:line="240" w:lineRule="auto"/>
      </w:pPr>
      <w:r>
        <w:continuationSeparator/>
      </w:r>
    </w:p>
  </w:endnote>
  <w:endnote w:type="continuationNotice" w:id="1">
    <w:p w14:paraId="75DDBC65" w14:textId="77777777" w:rsidR="00206D37" w:rsidRDefault="00206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9FB3" w14:textId="77777777" w:rsidR="00114285" w:rsidRDefault="00114285" w:rsidP="00F253B8">
    <w:pPr>
      <w:pStyle w:val="Footer"/>
      <w:pBdr>
        <w:top w:val="single" w:sz="4" w:space="1" w:color="auto"/>
      </w:pBdr>
      <w:tabs>
        <w:tab w:val="right" w:pos="9214"/>
      </w:tabs>
      <w:jc w:val="right"/>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E022" w14:textId="77777777" w:rsidR="00206D37" w:rsidRDefault="00206D37" w:rsidP="00563B17">
      <w:pPr>
        <w:spacing w:after="0" w:line="240" w:lineRule="auto"/>
      </w:pPr>
      <w:r>
        <w:separator/>
      </w:r>
    </w:p>
  </w:footnote>
  <w:footnote w:type="continuationSeparator" w:id="0">
    <w:p w14:paraId="35542A4F" w14:textId="77777777" w:rsidR="00206D37" w:rsidRDefault="00206D37" w:rsidP="00563B17">
      <w:pPr>
        <w:spacing w:after="0" w:line="240" w:lineRule="auto"/>
      </w:pPr>
      <w:r>
        <w:continuationSeparator/>
      </w:r>
    </w:p>
  </w:footnote>
  <w:footnote w:type="continuationNotice" w:id="1">
    <w:p w14:paraId="72A44895" w14:textId="77777777" w:rsidR="00206D37" w:rsidRDefault="00206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1DC6" w14:textId="77777777" w:rsidR="00114285" w:rsidRDefault="6C3CBD38" w:rsidP="00563B17">
    <w:pPr>
      <w:pStyle w:val="Header"/>
      <w:tabs>
        <w:tab w:val="right" w:pos="9356"/>
      </w:tabs>
      <w:rPr>
        <w:rFonts w:ascii="Arial" w:hAnsi="Arial"/>
        <w:b/>
        <w:sz w:val="24"/>
      </w:rPr>
    </w:pPr>
    <w:r>
      <w:rPr>
        <w:noProof/>
      </w:rPr>
      <w:drawing>
        <wp:inline distT="0" distB="0" distL="0" distR="0" wp14:anchorId="5440A292" wp14:editId="68A51857">
          <wp:extent cx="1362075" cy="600075"/>
          <wp:effectExtent l="0" t="0" r="9525" b="9525"/>
          <wp:docPr id="5" name="Picture 5" descr="AMP Logo_RGB_3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2075" cy="600075"/>
                  </a:xfrm>
                  <a:prstGeom prst="rect">
                    <a:avLst/>
                  </a:prstGeom>
                </pic:spPr>
              </pic:pic>
            </a:graphicData>
          </a:graphic>
        </wp:inline>
      </w:drawing>
    </w:r>
    <w:r w:rsidR="00114285">
      <w:tab/>
    </w:r>
    <w:r w:rsidR="00114285">
      <w:tab/>
    </w:r>
    <w:r w:rsidR="00114285" w:rsidRPr="6C3CBD38">
      <w:rPr>
        <w:rFonts w:ascii="Arial" w:hAnsi="Arial"/>
        <w:b/>
        <w:sz w:val="24"/>
        <w:szCs w:val="24"/>
      </w:rPr>
      <w:t>CONFIDENTIAL</w:t>
    </w:r>
  </w:p>
  <w:p w14:paraId="1EEAF67F" w14:textId="77777777" w:rsidR="00114285" w:rsidRDefault="00114285" w:rsidP="00563B17">
    <w:pPr>
      <w:pStyle w:val="Header"/>
      <w:tabs>
        <w:tab w:val="right" w:pos="9356"/>
      </w:tabs>
      <w:rPr>
        <w:rFonts w:ascii="Arial" w:hAnsi="Arial"/>
        <w:b/>
        <w:sz w:val="24"/>
      </w:rPr>
    </w:pPr>
  </w:p>
  <w:p w14:paraId="36FF1724" w14:textId="77777777" w:rsidR="00114285" w:rsidRDefault="00114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3F8"/>
    <w:multiLevelType w:val="hybridMultilevel"/>
    <w:tmpl w:val="8B387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87761C"/>
    <w:multiLevelType w:val="hybridMultilevel"/>
    <w:tmpl w:val="A086C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043377"/>
    <w:multiLevelType w:val="hybridMultilevel"/>
    <w:tmpl w:val="864484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BD42AB"/>
    <w:multiLevelType w:val="hybridMultilevel"/>
    <w:tmpl w:val="A086C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C062E69"/>
    <w:multiLevelType w:val="hybridMultilevel"/>
    <w:tmpl w:val="749AA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C196921"/>
    <w:multiLevelType w:val="hybridMultilevel"/>
    <w:tmpl w:val="B17C5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A9D59D5"/>
    <w:multiLevelType w:val="hybridMultilevel"/>
    <w:tmpl w:val="0A2209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2D33DF4"/>
    <w:multiLevelType w:val="hybridMultilevel"/>
    <w:tmpl w:val="270A0F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D26478D"/>
    <w:multiLevelType w:val="hybridMultilevel"/>
    <w:tmpl w:val="A086C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BE75E3E"/>
    <w:multiLevelType w:val="hybridMultilevel"/>
    <w:tmpl w:val="6FE65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DE11EF4"/>
    <w:multiLevelType w:val="hybridMultilevel"/>
    <w:tmpl w:val="FB4AF3A2"/>
    <w:lvl w:ilvl="0" w:tplc="142C1828">
      <w:start w:val="99"/>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FA31BCC"/>
    <w:multiLevelType w:val="hybridMultilevel"/>
    <w:tmpl w:val="C2745F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4C477F"/>
    <w:multiLevelType w:val="hybridMultilevel"/>
    <w:tmpl w:val="A086C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67E0FD5"/>
    <w:multiLevelType w:val="hybridMultilevel"/>
    <w:tmpl w:val="A086C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7"/>
  </w:num>
  <w:num w:numId="6">
    <w:abstractNumId w:val="1"/>
  </w:num>
  <w:num w:numId="7">
    <w:abstractNumId w:val="2"/>
  </w:num>
  <w:num w:numId="8">
    <w:abstractNumId w:val="11"/>
  </w:num>
  <w:num w:numId="9">
    <w:abstractNumId w:val="13"/>
  </w:num>
  <w:num w:numId="10">
    <w:abstractNumId w:val="12"/>
  </w:num>
  <w:num w:numId="11">
    <w:abstractNumId w:val="6"/>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17"/>
    <w:rsid w:val="00002ACC"/>
    <w:rsid w:val="0000627A"/>
    <w:rsid w:val="00010E5C"/>
    <w:rsid w:val="000143EF"/>
    <w:rsid w:val="00027F22"/>
    <w:rsid w:val="00031DA7"/>
    <w:rsid w:val="0004671C"/>
    <w:rsid w:val="00052B1F"/>
    <w:rsid w:val="00052D0F"/>
    <w:rsid w:val="00063243"/>
    <w:rsid w:val="00067C17"/>
    <w:rsid w:val="00080124"/>
    <w:rsid w:val="00080921"/>
    <w:rsid w:val="000851A8"/>
    <w:rsid w:val="00090547"/>
    <w:rsid w:val="0009204D"/>
    <w:rsid w:val="00096AD2"/>
    <w:rsid w:val="00096C14"/>
    <w:rsid w:val="000A785C"/>
    <w:rsid w:val="000B3290"/>
    <w:rsid w:val="000B5279"/>
    <w:rsid w:val="000C073B"/>
    <w:rsid w:val="000D3EB4"/>
    <w:rsid w:val="000D4600"/>
    <w:rsid w:val="000E16C3"/>
    <w:rsid w:val="000E4A0D"/>
    <w:rsid w:val="000F10BB"/>
    <w:rsid w:val="000F566D"/>
    <w:rsid w:val="0011312B"/>
    <w:rsid w:val="001135EE"/>
    <w:rsid w:val="00114285"/>
    <w:rsid w:val="00114C6E"/>
    <w:rsid w:val="00120CFF"/>
    <w:rsid w:val="0012302E"/>
    <w:rsid w:val="001338A6"/>
    <w:rsid w:val="00152781"/>
    <w:rsid w:val="00154E16"/>
    <w:rsid w:val="001622CF"/>
    <w:rsid w:val="00162408"/>
    <w:rsid w:val="00167450"/>
    <w:rsid w:val="001675E7"/>
    <w:rsid w:val="00176C91"/>
    <w:rsid w:val="00190CB4"/>
    <w:rsid w:val="00191DD1"/>
    <w:rsid w:val="001A1043"/>
    <w:rsid w:val="001A3497"/>
    <w:rsid w:val="001A4475"/>
    <w:rsid w:val="001C088E"/>
    <w:rsid w:val="001C2FEB"/>
    <w:rsid w:val="001C6909"/>
    <w:rsid w:val="001C6DA3"/>
    <w:rsid w:val="001D5895"/>
    <w:rsid w:val="001E161A"/>
    <w:rsid w:val="001E1637"/>
    <w:rsid w:val="001E221B"/>
    <w:rsid w:val="001E37E5"/>
    <w:rsid w:val="001E4FE6"/>
    <w:rsid w:val="001E6E56"/>
    <w:rsid w:val="001E7836"/>
    <w:rsid w:val="001F11B6"/>
    <w:rsid w:val="001F1633"/>
    <w:rsid w:val="001F19C5"/>
    <w:rsid w:val="001F2B53"/>
    <w:rsid w:val="00206D37"/>
    <w:rsid w:val="00212DD6"/>
    <w:rsid w:val="00221AFE"/>
    <w:rsid w:val="00221CB1"/>
    <w:rsid w:val="00222CCC"/>
    <w:rsid w:val="00222FC4"/>
    <w:rsid w:val="00225A36"/>
    <w:rsid w:val="0023487F"/>
    <w:rsid w:val="00242435"/>
    <w:rsid w:val="00243E95"/>
    <w:rsid w:val="0024440B"/>
    <w:rsid w:val="0024756A"/>
    <w:rsid w:val="00260B81"/>
    <w:rsid w:val="0026261A"/>
    <w:rsid w:val="00264B07"/>
    <w:rsid w:val="00267AB3"/>
    <w:rsid w:val="0027329A"/>
    <w:rsid w:val="00273A42"/>
    <w:rsid w:val="002A04A7"/>
    <w:rsid w:val="002B631C"/>
    <w:rsid w:val="002C4FA8"/>
    <w:rsid w:val="002D0960"/>
    <w:rsid w:val="002D0E3F"/>
    <w:rsid w:val="002D41CB"/>
    <w:rsid w:val="002D6AF6"/>
    <w:rsid w:val="002E4D37"/>
    <w:rsid w:val="002E5F4C"/>
    <w:rsid w:val="002F22D5"/>
    <w:rsid w:val="002F3360"/>
    <w:rsid w:val="0030019F"/>
    <w:rsid w:val="00307C2E"/>
    <w:rsid w:val="00311959"/>
    <w:rsid w:val="00317478"/>
    <w:rsid w:val="0032368F"/>
    <w:rsid w:val="0032652F"/>
    <w:rsid w:val="00327910"/>
    <w:rsid w:val="00346B3E"/>
    <w:rsid w:val="00354F8E"/>
    <w:rsid w:val="0036040C"/>
    <w:rsid w:val="003700D6"/>
    <w:rsid w:val="00380109"/>
    <w:rsid w:val="00380278"/>
    <w:rsid w:val="003814AA"/>
    <w:rsid w:val="00384472"/>
    <w:rsid w:val="00387A3E"/>
    <w:rsid w:val="00390A2D"/>
    <w:rsid w:val="003A3DAB"/>
    <w:rsid w:val="003A47F5"/>
    <w:rsid w:val="003A6ABA"/>
    <w:rsid w:val="003B1B42"/>
    <w:rsid w:val="003B297D"/>
    <w:rsid w:val="003B7EDA"/>
    <w:rsid w:val="003C2124"/>
    <w:rsid w:val="003D0BE6"/>
    <w:rsid w:val="003D7048"/>
    <w:rsid w:val="003E28ED"/>
    <w:rsid w:val="003E3225"/>
    <w:rsid w:val="003E7BFF"/>
    <w:rsid w:val="003F6797"/>
    <w:rsid w:val="00400A82"/>
    <w:rsid w:val="0040255A"/>
    <w:rsid w:val="00402AFB"/>
    <w:rsid w:val="004069D2"/>
    <w:rsid w:val="004071ED"/>
    <w:rsid w:val="004272DB"/>
    <w:rsid w:val="0043722B"/>
    <w:rsid w:val="00440B52"/>
    <w:rsid w:val="004517B1"/>
    <w:rsid w:val="00455ADB"/>
    <w:rsid w:val="00457DA0"/>
    <w:rsid w:val="004733DF"/>
    <w:rsid w:val="00475010"/>
    <w:rsid w:val="0048090A"/>
    <w:rsid w:val="00485C85"/>
    <w:rsid w:val="004863D5"/>
    <w:rsid w:val="004865D4"/>
    <w:rsid w:val="0049186A"/>
    <w:rsid w:val="00491F6A"/>
    <w:rsid w:val="0049365A"/>
    <w:rsid w:val="004A0118"/>
    <w:rsid w:val="004A31BA"/>
    <w:rsid w:val="004A34EC"/>
    <w:rsid w:val="004A4D5D"/>
    <w:rsid w:val="004B02D5"/>
    <w:rsid w:val="004B03A6"/>
    <w:rsid w:val="004B1A6A"/>
    <w:rsid w:val="004B1DB6"/>
    <w:rsid w:val="004C601F"/>
    <w:rsid w:val="004E28BB"/>
    <w:rsid w:val="004E62F2"/>
    <w:rsid w:val="004E6F7F"/>
    <w:rsid w:val="004F31FA"/>
    <w:rsid w:val="00503DB9"/>
    <w:rsid w:val="0051038E"/>
    <w:rsid w:val="00513DEB"/>
    <w:rsid w:val="00520291"/>
    <w:rsid w:val="00522E8A"/>
    <w:rsid w:val="00525E36"/>
    <w:rsid w:val="00532242"/>
    <w:rsid w:val="0053247A"/>
    <w:rsid w:val="00532651"/>
    <w:rsid w:val="00542291"/>
    <w:rsid w:val="00545B22"/>
    <w:rsid w:val="005602DC"/>
    <w:rsid w:val="0056100E"/>
    <w:rsid w:val="00563B17"/>
    <w:rsid w:val="00573F79"/>
    <w:rsid w:val="00581146"/>
    <w:rsid w:val="00587316"/>
    <w:rsid w:val="005A24D3"/>
    <w:rsid w:val="005A7831"/>
    <w:rsid w:val="005B1765"/>
    <w:rsid w:val="005B3A39"/>
    <w:rsid w:val="005C0D8C"/>
    <w:rsid w:val="005C7AD1"/>
    <w:rsid w:val="005D0779"/>
    <w:rsid w:val="0061243A"/>
    <w:rsid w:val="00613EF0"/>
    <w:rsid w:val="00637E3A"/>
    <w:rsid w:val="00655613"/>
    <w:rsid w:val="0066176D"/>
    <w:rsid w:val="00665AF1"/>
    <w:rsid w:val="00666494"/>
    <w:rsid w:val="006755FD"/>
    <w:rsid w:val="00675E9D"/>
    <w:rsid w:val="00681749"/>
    <w:rsid w:val="006817CE"/>
    <w:rsid w:val="006A0462"/>
    <w:rsid w:val="006A4B15"/>
    <w:rsid w:val="006A4DC2"/>
    <w:rsid w:val="006B0252"/>
    <w:rsid w:val="006C5269"/>
    <w:rsid w:val="006D642C"/>
    <w:rsid w:val="006D6DDB"/>
    <w:rsid w:val="006E4F56"/>
    <w:rsid w:val="006F2030"/>
    <w:rsid w:val="006F3629"/>
    <w:rsid w:val="0070507F"/>
    <w:rsid w:val="00705817"/>
    <w:rsid w:val="007069BE"/>
    <w:rsid w:val="00726950"/>
    <w:rsid w:val="0073054F"/>
    <w:rsid w:val="00732D8C"/>
    <w:rsid w:val="00742D2A"/>
    <w:rsid w:val="00763F73"/>
    <w:rsid w:val="00770263"/>
    <w:rsid w:val="00780FA2"/>
    <w:rsid w:val="0078331E"/>
    <w:rsid w:val="007878E4"/>
    <w:rsid w:val="00790395"/>
    <w:rsid w:val="007944A9"/>
    <w:rsid w:val="00794BF1"/>
    <w:rsid w:val="007A4EA4"/>
    <w:rsid w:val="007A5382"/>
    <w:rsid w:val="007B2732"/>
    <w:rsid w:val="007B38C4"/>
    <w:rsid w:val="007B712F"/>
    <w:rsid w:val="007C28A5"/>
    <w:rsid w:val="007C4705"/>
    <w:rsid w:val="007C63D6"/>
    <w:rsid w:val="007C717A"/>
    <w:rsid w:val="007D73D8"/>
    <w:rsid w:val="007F7346"/>
    <w:rsid w:val="007F7477"/>
    <w:rsid w:val="00802F74"/>
    <w:rsid w:val="00812821"/>
    <w:rsid w:val="00822FAD"/>
    <w:rsid w:val="00825030"/>
    <w:rsid w:val="00831C20"/>
    <w:rsid w:val="00836913"/>
    <w:rsid w:val="008425F1"/>
    <w:rsid w:val="0085569E"/>
    <w:rsid w:val="00855D1A"/>
    <w:rsid w:val="00856647"/>
    <w:rsid w:val="008621EF"/>
    <w:rsid w:val="008631CA"/>
    <w:rsid w:val="00864E1E"/>
    <w:rsid w:val="008720F1"/>
    <w:rsid w:val="008764E4"/>
    <w:rsid w:val="00881AD4"/>
    <w:rsid w:val="00883668"/>
    <w:rsid w:val="008901D8"/>
    <w:rsid w:val="0089410D"/>
    <w:rsid w:val="00894FC5"/>
    <w:rsid w:val="00896EFF"/>
    <w:rsid w:val="008A1505"/>
    <w:rsid w:val="008A49D2"/>
    <w:rsid w:val="008A7556"/>
    <w:rsid w:val="008B73FA"/>
    <w:rsid w:val="008B7CD2"/>
    <w:rsid w:val="008C3B0C"/>
    <w:rsid w:val="008D4270"/>
    <w:rsid w:val="008D4332"/>
    <w:rsid w:val="008D4BAB"/>
    <w:rsid w:val="008D5778"/>
    <w:rsid w:val="0090115C"/>
    <w:rsid w:val="009068C2"/>
    <w:rsid w:val="00907152"/>
    <w:rsid w:val="009074B8"/>
    <w:rsid w:val="00911FB3"/>
    <w:rsid w:val="009165E1"/>
    <w:rsid w:val="00920D88"/>
    <w:rsid w:val="00922919"/>
    <w:rsid w:val="00935BD4"/>
    <w:rsid w:val="00936E81"/>
    <w:rsid w:val="00937351"/>
    <w:rsid w:val="00940B82"/>
    <w:rsid w:val="00944050"/>
    <w:rsid w:val="009459A9"/>
    <w:rsid w:val="009542AF"/>
    <w:rsid w:val="00957AD0"/>
    <w:rsid w:val="00957BDC"/>
    <w:rsid w:val="0096702E"/>
    <w:rsid w:val="00970B38"/>
    <w:rsid w:val="00973328"/>
    <w:rsid w:val="00973BF4"/>
    <w:rsid w:val="009766CA"/>
    <w:rsid w:val="00981155"/>
    <w:rsid w:val="00983F2E"/>
    <w:rsid w:val="00992DD8"/>
    <w:rsid w:val="0099318D"/>
    <w:rsid w:val="009946E3"/>
    <w:rsid w:val="0099498F"/>
    <w:rsid w:val="00995CE3"/>
    <w:rsid w:val="00996B08"/>
    <w:rsid w:val="009A0AC2"/>
    <w:rsid w:val="009A4762"/>
    <w:rsid w:val="009C30F1"/>
    <w:rsid w:val="009C6DF0"/>
    <w:rsid w:val="009D50F2"/>
    <w:rsid w:val="009D5968"/>
    <w:rsid w:val="009D6A00"/>
    <w:rsid w:val="009E2E39"/>
    <w:rsid w:val="009E4C88"/>
    <w:rsid w:val="009E76C7"/>
    <w:rsid w:val="00A019D6"/>
    <w:rsid w:val="00A0366D"/>
    <w:rsid w:val="00A17093"/>
    <w:rsid w:val="00A1731F"/>
    <w:rsid w:val="00A244CF"/>
    <w:rsid w:val="00A3314E"/>
    <w:rsid w:val="00A40209"/>
    <w:rsid w:val="00A43906"/>
    <w:rsid w:val="00A500D2"/>
    <w:rsid w:val="00A52B92"/>
    <w:rsid w:val="00A53441"/>
    <w:rsid w:val="00A766C1"/>
    <w:rsid w:val="00A7741B"/>
    <w:rsid w:val="00A834BA"/>
    <w:rsid w:val="00A85631"/>
    <w:rsid w:val="00A86EDD"/>
    <w:rsid w:val="00AA3315"/>
    <w:rsid w:val="00AA380E"/>
    <w:rsid w:val="00AA59C5"/>
    <w:rsid w:val="00AC566A"/>
    <w:rsid w:val="00AD40BA"/>
    <w:rsid w:val="00AD5269"/>
    <w:rsid w:val="00AE249C"/>
    <w:rsid w:val="00AE431D"/>
    <w:rsid w:val="00AF2D5D"/>
    <w:rsid w:val="00AF40DA"/>
    <w:rsid w:val="00AF77D3"/>
    <w:rsid w:val="00B03991"/>
    <w:rsid w:val="00B06629"/>
    <w:rsid w:val="00B06913"/>
    <w:rsid w:val="00B10B23"/>
    <w:rsid w:val="00B130E2"/>
    <w:rsid w:val="00B14385"/>
    <w:rsid w:val="00B2115A"/>
    <w:rsid w:val="00B24FAD"/>
    <w:rsid w:val="00B261A0"/>
    <w:rsid w:val="00B338EB"/>
    <w:rsid w:val="00B37B84"/>
    <w:rsid w:val="00B5438B"/>
    <w:rsid w:val="00B564BE"/>
    <w:rsid w:val="00B57D15"/>
    <w:rsid w:val="00B6788E"/>
    <w:rsid w:val="00B707E4"/>
    <w:rsid w:val="00B716CB"/>
    <w:rsid w:val="00B75894"/>
    <w:rsid w:val="00B760B0"/>
    <w:rsid w:val="00B766D6"/>
    <w:rsid w:val="00B76D56"/>
    <w:rsid w:val="00B8709C"/>
    <w:rsid w:val="00B8782F"/>
    <w:rsid w:val="00B9102E"/>
    <w:rsid w:val="00B928FE"/>
    <w:rsid w:val="00B940D5"/>
    <w:rsid w:val="00B94826"/>
    <w:rsid w:val="00B9623D"/>
    <w:rsid w:val="00B96824"/>
    <w:rsid w:val="00BA5D40"/>
    <w:rsid w:val="00BB170A"/>
    <w:rsid w:val="00BB55E3"/>
    <w:rsid w:val="00BC6057"/>
    <w:rsid w:val="00BD212F"/>
    <w:rsid w:val="00BF1110"/>
    <w:rsid w:val="00BF7F12"/>
    <w:rsid w:val="00C23FD1"/>
    <w:rsid w:val="00C41654"/>
    <w:rsid w:val="00C42919"/>
    <w:rsid w:val="00C45D74"/>
    <w:rsid w:val="00C53099"/>
    <w:rsid w:val="00C73FE0"/>
    <w:rsid w:val="00C85AE1"/>
    <w:rsid w:val="00C90811"/>
    <w:rsid w:val="00CA71C2"/>
    <w:rsid w:val="00CB6C78"/>
    <w:rsid w:val="00CD2332"/>
    <w:rsid w:val="00CF6A88"/>
    <w:rsid w:val="00CF73F4"/>
    <w:rsid w:val="00D02951"/>
    <w:rsid w:val="00D12634"/>
    <w:rsid w:val="00D156A7"/>
    <w:rsid w:val="00D16ED6"/>
    <w:rsid w:val="00D2541C"/>
    <w:rsid w:val="00D30DEA"/>
    <w:rsid w:val="00D50182"/>
    <w:rsid w:val="00D51967"/>
    <w:rsid w:val="00D54F49"/>
    <w:rsid w:val="00D615FB"/>
    <w:rsid w:val="00D73C4C"/>
    <w:rsid w:val="00D7422D"/>
    <w:rsid w:val="00D76336"/>
    <w:rsid w:val="00D80617"/>
    <w:rsid w:val="00D81366"/>
    <w:rsid w:val="00D83BED"/>
    <w:rsid w:val="00D85B70"/>
    <w:rsid w:val="00D86513"/>
    <w:rsid w:val="00D90E11"/>
    <w:rsid w:val="00DA18A8"/>
    <w:rsid w:val="00DA23E2"/>
    <w:rsid w:val="00DA3EFB"/>
    <w:rsid w:val="00DA7EA4"/>
    <w:rsid w:val="00DB1241"/>
    <w:rsid w:val="00DB3991"/>
    <w:rsid w:val="00DC0CE8"/>
    <w:rsid w:val="00DC1BEB"/>
    <w:rsid w:val="00DC5795"/>
    <w:rsid w:val="00DD4ECF"/>
    <w:rsid w:val="00DD66D1"/>
    <w:rsid w:val="00DE1FAB"/>
    <w:rsid w:val="00DE66D9"/>
    <w:rsid w:val="00E035FB"/>
    <w:rsid w:val="00E05773"/>
    <w:rsid w:val="00E157B5"/>
    <w:rsid w:val="00E23510"/>
    <w:rsid w:val="00E23C72"/>
    <w:rsid w:val="00E27B13"/>
    <w:rsid w:val="00E27CD2"/>
    <w:rsid w:val="00E30E3A"/>
    <w:rsid w:val="00E366FE"/>
    <w:rsid w:val="00E36FBE"/>
    <w:rsid w:val="00E50938"/>
    <w:rsid w:val="00E537DB"/>
    <w:rsid w:val="00E53ABF"/>
    <w:rsid w:val="00E61CAD"/>
    <w:rsid w:val="00E64206"/>
    <w:rsid w:val="00E829FD"/>
    <w:rsid w:val="00E831D7"/>
    <w:rsid w:val="00E9467A"/>
    <w:rsid w:val="00EA1FCE"/>
    <w:rsid w:val="00EA2F05"/>
    <w:rsid w:val="00EA610D"/>
    <w:rsid w:val="00EB11A7"/>
    <w:rsid w:val="00EC00B6"/>
    <w:rsid w:val="00EC1887"/>
    <w:rsid w:val="00EC271E"/>
    <w:rsid w:val="00EC2C4E"/>
    <w:rsid w:val="00EC2CAA"/>
    <w:rsid w:val="00EC5ED2"/>
    <w:rsid w:val="00EC5EFD"/>
    <w:rsid w:val="00ED37B6"/>
    <w:rsid w:val="00EE46B8"/>
    <w:rsid w:val="00EE49C3"/>
    <w:rsid w:val="00EF68B0"/>
    <w:rsid w:val="00F13300"/>
    <w:rsid w:val="00F16D86"/>
    <w:rsid w:val="00F2073C"/>
    <w:rsid w:val="00F253B8"/>
    <w:rsid w:val="00F25729"/>
    <w:rsid w:val="00F30298"/>
    <w:rsid w:val="00F31E9E"/>
    <w:rsid w:val="00F335E6"/>
    <w:rsid w:val="00F35F0E"/>
    <w:rsid w:val="00F50775"/>
    <w:rsid w:val="00F54AB0"/>
    <w:rsid w:val="00F54B44"/>
    <w:rsid w:val="00F604FC"/>
    <w:rsid w:val="00F7621E"/>
    <w:rsid w:val="00F81B60"/>
    <w:rsid w:val="00F81DC9"/>
    <w:rsid w:val="00F8743E"/>
    <w:rsid w:val="00F95EE2"/>
    <w:rsid w:val="00FA166A"/>
    <w:rsid w:val="00FA7E93"/>
    <w:rsid w:val="00FB5A93"/>
    <w:rsid w:val="00FB6508"/>
    <w:rsid w:val="00FC368C"/>
    <w:rsid w:val="00FC3A36"/>
    <w:rsid w:val="00FC7876"/>
    <w:rsid w:val="00FD07F9"/>
    <w:rsid w:val="00FD0CB5"/>
    <w:rsid w:val="00FE314C"/>
    <w:rsid w:val="00FF155A"/>
    <w:rsid w:val="00FF32ED"/>
    <w:rsid w:val="00FF5A70"/>
    <w:rsid w:val="054F87DD"/>
    <w:rsid w:val="06B0CBDA"/>
    <w:rsid w:val="0D78988F"/>
    <w:rsid w:val="18E719C8"/>
    <w:rsid w:val="1A7342E9"/>
    <w:rsid w:val="2503AD67"/>
    <w:rsid w:val="270D0C6B"/>
    <w:rsid w:val="36C966D5"/>
    <w:rsid w:val="4D0BEF62"/>
    <w:rsid w:val="5242EDB9"/>
    <w:rsid w:val="6C3CBD38"/>
    <w:rsid w:val="6FBDDD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3CAFB"/>
  <w15:chartTrackingRefBased/>
  <w15:docId w15:val="{B8606964-6C25-4BBC-92C7-C00D7EEB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EDA"/>
  </w:style>
  <w:style w:type="paragraph" w:styleId="Heading5">
    <w:name w:val="heading 5"/>
    <w:basedOn w:val="Normal"/>
    <w:next w:val="Normal"/>
    <w:link w:val="Heading5Char"/>
    <w:semiHidden/>
    <w:unhideWhenUsed/>
    <w:qFormat/>
    <w:rsid w:val="00563B17"/>
    <w:pPr>
      <w:keepNext/>
      <w:tabs>
        <w:tab w:val="left" w:pos="2880"/>
        <w:tab w:val="left" w:pos="4770"/>
      </w:tabs>
      <w:spacing w:after="0" w:line="240" w:lineRule="auto"/>
      <w:outlineLvl w:val="4"/>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17"/>
  </w:style>
  <w:style w:type="paragraph" w:styleId="Footer">
    <w:name w:val="footer"/>
    <w:basedOn w:val="Normal"/>
    <w:link w:val="FooterChar"/>
    <w:uiPriority w:val="99"/>
    <w:unhideWhenUsed/>
    <w:rsid w:val="00563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17"/>
  </w:style>
  <w:style w:type="character" w:customStyle="1" w:styleId="Heading5Char">
    <w:name w:val="Heading 5 Char"/>
    <w:basedOn w:val="DefaultParagraphFont"/>
    <w:link w:val="Heading5"/>
    <w:semiHidden/>
    <w:rsid w:val="00563B17"/>
    <w:rPr>
      <w:rFonts w:ascii="Arial" w:eastAsia="Times New Roman" w:hAnsi="Arial" w:cs="Times New Roman"/>
      <w:b/>
      <w:szCs w:val="20"/>
      <w:lang w:val="en-US"/>
    </w:rPr>
  </w:style>
  <w:style w:type="paragraph" w:styleId="BodyText">
    <w:name w:val="Body Text"/>
    <w:basedOn w:val="Normal"/>
    <w:link w:val="BodyTextChar"/>
    <w:semiHidden/>
    <w:unhideWhenUsed/>
    <w:rsid w:val="00563B17"/>
    <w:pPr>
      <w:tabs>
        <w:tab w:val="left" w:pos="2160"/>
        <w:tab w:val="left" w:pos="6480"/>
      </w:tabs>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563B1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90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2D"/>
    <w:rPr>
      <w:rFonts w:ascii="Segoe UI" w:hAnsi="Segoe UI" w:cs="Segoe UI"/>
      <w:sz w:val="18"/>
      <w:szCs w:val="18"/>
    </w:rPr>
  </w:style>
  <w:style w:type="character" w:styleId="CommentReference">
    <w:name w:val="annotation reference"/>
    <w:basedOn w:val="DefaultParagraphFont"/>
    <w:uiPriority w:val="99"/>
    <w:semiHidden/>
    <w:unhideWhenUsed/>
    <w:rsid w:val="001F11B6"/>
    <w:rPr>
      <w:sz w:val="16"/>
      <w:szCs w:val="16"/>
    </w:rPr>
  </w:style>
  <w:style w:type="paragraph" w:styleId="CommentText">
    <w:name w:val="annotation text"/>
    <w:basedOn w:val="Normal"/>
    <w:link w:val="CommentTextChar"/>
    <w:uiPriority w:val="99"/>
    <w:semiHidden/>
    <w:unhideWhenUsed/>
    <w:rsid w:val="001F11B6"/>
    <w:pPr>
      <w:spacing w:line="240" w:lineRule="auto"/>
    </w:pPr>
    <w:rPr>
      <w:sz w:val="20"/>
      <w:szCs w:val="20"/>
    </w:rPr>
  </w:style>
  <w:style w:type="character" w:customStyle="1" w:styleId="CommentTextChar">
    <w:name w:val="Comment Text Char"/>
    <w:basedOn w:val="DefaultParagraphFont"/>
    <w:link w:val="CommentText"/>
    <w:uiPriority w:val="99"/>
    <w:semiHidden/>
    <w:rsid w:val="001F11B6"/>
    <w:rPr>
      <w:sz w:val="20"/>
      <w:szCs w:val="20"/>
    </w:rPr>
  </w:style>
  <w:style w:type="paragraph" w:styleId="ListParagraph">
    <w:name w:val="List Paragraph"/>
    <w:basedOn w:val="Normal"/>
    <w:uiPriority w:val="34"/>
    <w:qFormat/>
    <w:rsid w:val="00613EF0"/>
    <w:pPr>
      <w:ind w:left="720"/>
      <w:contextualSpacing/>
    </w:pPr>
  </w:style>
  <w:style w:type="table" w:styleId="TableGrid">
    <w:name w:val="Table Grid"/>
    <w:basedOn w:val="TableNormal"/>
    <w:uiPriority w:val="39"/>
    <w:rsid w:val="0023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A4B1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48090A"/>
    <w:rPr>
      <w:b/>
      <w:bCs/>
    </w:rPr>
  </w:style>
  <w:style w:type="character" w:customStyle="1" w:styleId="CommentSubjectChar">
    <w:name w:val="Comment Subject Char"/>
    <w:basedOn w:val="CommentTextChar"/>
    <w:link w:val="CommentSubject"/>
    <w:uiPriority w:val="99"/>
    <w:semiHidden/>
    <w:rsid w:val="0048090A"/>
    <w:rPr>
      <w:b/>
      <w:bCs/>
      <w:sz w:val="20"/>
      <w:szCs w:val="20"/>
    </w:rPr>
  </w:style>
  <w:style w:type="character" w:styleId="UnresolvedMention">
    <w:name w:val="Unresolved Mention"/>
    <w:basedOn w:val="DefaultParagraphFont"/>
    <w:uiPriority w:val="99"/>
    <w:unhideWhenUsed/>
    <w:rsid w:val="0051038E"/>
    <w:rPr>
      <w:color w:val="605E5C"/>
      <w:shd w:val="clear" w:color="auto" w:fill="E1DFDD"/>
    </w:rPr>
  </w:style>
  <w:style w:type="character" w:styleId="Mention">
    <w:name w:val="Mention"/>
    <w:basedOn w:val="DefaultParagraphFont"/>
    <w:uiPriority w:val="99"/>
    <w:unhideWhenUsed/>
    <w:rsid w:val="0051038E"/>
    <w:rPr>
      <w:color w:val="2B579A"/>
      <w:shd w:val="clear" w:color="auto" w:fill="E1DFDD"/>
    </w:rPr>
  </w:style>
  <w:style w:type="paragraph" w:styleId="Revision">
    <w:name w:val="Revision"/>
    <w:hidden/>
    <w:uiPriority w:val="99"/>
    <w:semiHidden/>
    <w:rsid w:val="003D7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8776">
      <w:bodyDiv w:val="1"/>
      <w:marLeft w:val="0"/>
      <w:marRight w:val="0"/>
      <w:marTop w:val="0"/>
      <w:marBottom w:val="0"/>
      <w:divBdr>
        <w:top w:val="none" w:sz="0" w:space="0" w:color="auto"/>
        <w:left w:val="none" w:sz="0" w:space="0" w:color="auto"/>
        <w:bottom w:val="none" w:sz="0" w:space="0" w:color="auto"/>
        <w:right w:val="none" w:sz="0" w:space="0" w:color="auto"/>
      </w:divBdr>
    </w:div>
    <w:div w:id="153185868">
      <w:bodyDiv w:val="1"/>
      <w:marLeft w:val="0"/>
      <w:marRight w:val="0"/>
      <w:marTop w:val="0"/>
      <w:marBottom w:val="0"/>
      <w:divBdr>
        <w:top w:val="none" w:sz="0" w:space="0" w:color="auto"/>
        <w:left w:val="none" w:sz="0" w:space="0" w:color="auto"/>
        <w:bottom w:val="none" w:sz="0" w:space="0" w:color="auto"/>
        <w:right w:val="none" w:sz="0" w:space="0" w:color="auto"/>
      </w:divBdr>
    </w:div>
    <w:div w:id="257912850">
      <w:bodyDiv w:val="1"/>
      <w:marLeft w:val="0"/>
      <w:marRight w:val="0"/>
      <w:marTop w:val="0"/>
      <w:marBottom w:val="0"/>
      <w:divBdr>
        <w:top w:val="none" w:sz="0" w:space="0" w:color="auto"/>
        <w:left w:val="none" w:sz="0" w:space="0" w:color="auto"/>
        <w:bottom w:val="none" w:sz="0" w:space="0" w:color="auto"/>
        <w:right w:val="none" w:sz="0" w:space="0" w:color="auto"/>
      </w:divBdr>
    </w:div>
    <w:div w:id="314336864">
      <w:bodyDiv w:val="1"/>
      <w:marLeft w:val="0"/>
      <w:marRight w:val="0"/>
      <w:marTop w:val="0"/>
      <w:marBottom w:val="0"/>
      <w:divBdr>
        <w:top w:val="none" w:sz="0" w:space="0" w:color="auto"/>
        <w:left w:val="none" w:sz="0" w:space="0" w:color="auto"/>
        <w:bottom w:val="none" w:sz="0" w:space="0" w:color="auto"/>
        <w:right w:val="none" w:sz="0" w:space="0" w:color="auto"/>
      </w:divBdr>
    </w:div>
    <w:div w:id="325520593">
      <w:bodyDiv w:val="1"/>
      <w:marLeft w:val="0"/>
      <w:marRight w:val="0"/>
      <w:marTop w:val="0"/>
      <w:marBottom w:val="0"/>
      <w:divBdr>
        <w:top w:val="none" w:sz="0" w:space="0" w:color="auto"/>
        <w:left w:val="none" w:sz="0" w:space="0" w:color="auto"/>
        <w:bottom w:val="none" w:sz="0" w:space="0" w:color="auto"/>
        <w:right w:val="none" w:sz="0" w:space="0" w:color="auto"/>
      </w:divBdr>
    </w:div>
    <w:div w:id="508954689">
      <w:bodyDiv w:val="1"/>
      <w:marLeft w:val="0"/>
      <w:marRight w:val="0"/>
      <w:marTop w:val="0"/>
      <w:marBottom w:val="0"/>
      <w:divBdr>
        <w:top w:val="none" w:sz="0" w:space="0" w:color="auto"/>
        <w:left w:val="none" w:sz="0" w:space="0" w:color="auto"/>
        <w:bottom w:val="none" w:sz="0" w:space="0" w:color="auto"/>
        <w:right w:val="none" w:sz="0" w:space="0" w:color="auto"/>
      </w:divBdr>
    </w:div>
    <w:div w:id="542444805">
      <w:bodyDiv w:val="1"/>
      <w:marLeft w:val="0"/>
      <w:marRight w:val="0"/>
      <w:marTop w:val="0"/>
      <w:marBottom w:val="0"/>
      <w:divBdr>
        <w:top w:val="none" w:sz="0" w:space="0" w:color="auto"/>
        <w:left w:val="none" w:sz="0" w:space="0" w:color="auto"/>
        <w:bottom w:val="none" w:sz="0" w:space="0" w:color="auto"/>
        <w:right w:val="none" w:sz="0" w:space="0" w:color="auto"/>
      </w:divBdr>
    </w:div>
    <w:div w:id="709645104">
      <w:bodyDiv w:val="1"/>
      <w:marLeft w:val="0"/>
      <w:marRight w:val="0"/>
      <w:marTop w:val="0"/>
      <w:marBottom w:val="0"/>
      <w:divBdr>
        <w:top w:val="none" w:sz="0" w:space="0" w:color="auto"/>
        <w:left w:val="none" w:sz="0" w:space="0" w:color="auto"/>
        <w:bottom w:val="none" w:sz="0" w:space="0" w:color="auto"/>
        <w:right w:val="none" w:sz="0" w:space="0" w:color="auto"/>
      </w:divBdr>
    </w:div>
    <w:div w:id="836648557">
      <w:bodyDiv w:val="1"/>
      <w:marLeft w:val="0"/>
      <w:marRight w:val="0"/>
      <w:marTop w:val="0"/>
      <w:marBottom w:val="0"/>
      <w:divBdr>
        <w:top w:val="none" w:sz="0" w:space="0" w:color="auto"/>
        <w:left w:val="none" w:sz="0" w:space="0" w:color="auto"/>
        <w:bottom w:val="none" w:sz="0" w:space="0" w:color="auto"/>
        <w:right w:val="none" w:sz="0" w:space="0" w:color="auto"/>
      </w:divBdr>
    </w:div>
    <w:div w:id="998339122">
      <w:bodyDiv w:val="1"/>
      <w:marLeft w:val="0"/>
      <w:marRight w:val="0"/>
      <w:marTop w:val="0"/>
      <w:marBottom w:val="0"/>
      <w:divBdr>
        <w:top w:val="none" w:sz="0" w:space="0" w:color="auto"/>
        <w:left w:val="none" w:sz="0" w:space="0" w:color="auto"/>
        <w:bottom w:val="none" w:sz="0" w:space="0" w:color="auto"/>
        <w:right w:val="none" w:sz="0" w:space="0" w:color="auto"/>
      </w:divBdr>
    </w:div>
    <w:div w:id="1126503323">
      <w:bodyDiv w:val="1"/>
      <w:marLeft w:val="0"/>
      <w:marRight w:val="0"/>
      <w:marTop w:val="0"/>
      <w:marBottom w:val="0"/>
      <w:divBdr>
        <w:top w:val="none" w:sz="0" w:space="0" w:color="auto"/>
        <w:left w:val="none" w:sz="0" w:space="0" w:color="auto"/>
        <w:bottom w:val="none" w:sz="0" w:space="0" w:color="auto"/>
        <w:right w:val="none" w:sz="0" w:space="0" w:color="auto"/>
      </w:divBdr>
    </w:div>
    <w:div w:id="1149054852">
      <w:bodyDiv w:val="1"/>
      <w:marLeft w:val="0"/>
      <w:marRight w:val="0"/>
      <w:marTop w:val="0"/>
      <w:marBottom w:val="0"/>
      <w:divBdr>
        <w:top w:val="none" w:sz="0" w:space="0" w:color="auto"/>
        <w:left w:val="none" w:sz="0" w:space="0" w:color="auto"/>
        <w:bottom w:val="none" w:sz="0" w:space="0" w:color="auto"/>
        <w:right w:val="none" w:sz="0" w:space="0" w:color="auto"/>
      </w:divBdr>
    </w:div>
    <w:div w:id="1162239729">
      <w:bodyDiv w:val="1"/>
      <w:marLeft w:val="0"/>
      <w:marRight w:val="0"/>
      <w:marTop w:val="0"/>
      <w:marBottom w:val="0"/>
      <w:divBdr>
        <w:top w:val="none" w:sz="0" w:space="0" w:color="auto"/>
        <w:left w:val="none" w:sz="0" w:space="0" w:color="auto"/>
        <w:bottom w:val="none" w:sz="0" w:space="0" w:color="auto"/>
        <w:right w:val="none" w:sz="0" w:space="0" w:color="auto"/>
      </w:divBdr>
    </w:div>
    <w:div w:id="1169059876">
      <w:bodyDiv w:val="1"/>
      <w:marLeft w:val="0"/>
      <w:marRight w:val="0"/>
      <w:marTop w:val="0"/>
      <w:marBottom w:val="0"/>
      <w:divBdr>
        <w:top w:val="none" w:sz="0" w:space="0" w:color="auto"/>
        <w:left w:val="none" w:sz="0" w:space="0" w:color="auto"/>
        <w:bottom w:val="none" w:sz="0" w:space="0" w:color="auto"/>
        <w:right w:val="none" w:sz="0" w:space="0" w:color="auto"/>
      </w:divBdr>
    </w:div>
    <w:div w:id="1213275381">
      <w:bodyDiv w:val="1"/>
      <w:marLeft w:val="0"/>
      <w:marRight w:val="0"/>
      <w:marTop w:val="0"/>
      <w:marBottom w:val="0"/>
      <w:divBdr>
        <w:top w:val="none" w:sz="0" w:space="0" w:color="auto"/>
        <w:left w:val="none" w:sz="0" w:space="0" w:color="auto"/>
        <w:bottom w:val="none" w:sz="0" w:space="0" w:color="auto"/>
        <w:right w:val="none" w:sz="0" w:space="0" w:color="auto"/>
      </w:divBdr>
    </w:div>
    <w:div w:id="1238201243">
      <w:bodyDiv w:val="1"/>
      <w:marLeft w:val="0"/>
      <w:marRight w:val="0"/>
      <w:marTop w:val="0"/>
      <w:marBottom w:val="0"/>
      <w:divBdr>
        <w:top w:val="none" w:sz="0" w:space="0" w:color="auto"/>
        <w:left w:val="none" w:sz="0" w:space="0" w:color="auto"/>
        <w:bottom w:val="none" w:sz="0" w:space="0" w:color="auto"/>
        <w:right w:val="none" w:sz="0" w:space="0" w:color="auto"/>
      </w:divBdr>
    </w:div>
    <w:div w:id="1324433225">
      <w:bodyDiv w:val="1"/>
      <w:marLeft w:val="0"/>
      <w:marRight w:val="0"/>
      <w:marTop w:val="0"/>
      <w:marBottom w:val="0"/>
      <w:divBdr>
        <w:top w:val="none" w:sz="0" w:space="0" w:color="auto"/>
        <w:left w:val="none" w:sz="0" w:space="0" w:color="auto"/>
        <w:bottom w:val="none" w:sz="0" w:space="0" w:color="auto"/>
        <w:right w:val="none" w:sz="0" w:space="0" w:color="auto"/>
      </w:divBdr>
    </w:div>
    <w:div w:id="1340548053">
      <w:bodyDiv w:val="1"/>
      <w:marLeft w:val="0"/>
      <w:marRight w:val="0"/>
      <w:marTop w:val="0"/>
      <w:marBottom w:val="0"/>
      <w:divBdr>
        <w:top w:val="none" w:sz="0" w:space="0" w:color="auto"/>
        <w:left w:val="none" w:sz="0" w:space="0" w:color="auto"/>
        <w:bottom w:val="none" w:sz="0" w:space="0" w:color="auto"/>
        <w:right w:val="none" w:sz="0" w:space="0" w:color="auto"/>
      </w:divBdr>
    </w:div>
    <w:div w:id="1367291008">
      <w:bodyDiv w:val="1"/>
      <w:marLeft w:val="0"/>
      <w:marRight w:val="0"/>
      <w:marTop w:val="0"/>
      <w:marBottom w:val="0"/>
      <w:divBdr>
        <w:top w:val="none" w:sz="0" w:space="0" w:color="auto"/>
        <w:left w:val="none" w:sz="0" w:space="0" w:color="auto"/>
        <w:bottom w:val="none" w:sz="0" w:space="0" w:color="auto"/>
        <w:right w:val="none" w:sz="0" w:space="0" w:color="auto"/>
      </w:divBdr>
    </w:div>
    <w:div w:id="1406293164">
      <w:bodyDiv w:val="1"/>
      <w:marLeft w:val="0"/>
      <w:marRight w:val="0"/>
      <w:marTop w:val="0"/>
      <w:marBottom w:val="0"/>
      <w:divBdr>
        <w:top w:val="none" w:sz="0" w:space="0" w:color="auto"/>
        <w:left w:val="none" w:sz="0" w:space="0" w:color="auto"/>
        <w:bottom w:val="none" w:sz="0" w:space="0" w:color="auto"/>
        <w:right w:val="none" w:sz="0" w:space="0" w:color="auto"/>
      </w:divBdr>
    </w:div>
    <w:div w:id="1586305521">
      <w:bodyDiv w:val="1"/>
      <w:marLeft w:val="0"/>
      <w:marRight w:val="0"/>
      <w:marTop w:val="0"/>
      <w:marBottom w:val="0"/>
      <w:divBdr>
        <w:top w:val="none" w:sz="0" w:space="0" w:color="auto"/>
        <w:left w:val="none" w:sz="0" w:space="0" w:color="auto"/>
        <w:bottom w:val="none" w:sz="0" w:space="0" w:color="auto"/>
        <w:right w:val="none" w:sz="0" w:space="0" w:color="auto"/>
      </w:divBdr>
    </w:div>
    <w:div w:id="1647277570">
      <w:bodyDiv w:val="1"/>
      <w:marLeft w:val="0"/>
      <w:marRight w:val="0"/>
      <w:marTop w:val="0"/>
      <w:marBottom w:val="0"/>
      <w:divBdr>
        <w:top w:val="none" w:sz="0" w:space="0" w:color="auto"/>
        <w:left w:val="none" w:sz="0" w:space="0" w:color="auto"/>
        <w:bottom w:val="none" w:sz="0" w:space="0" w:color="auto"/>
        <w:right w:val="none" w:sz="0" w:space="0" w:color="auto"/>
      </w:divBdr>
    </w:div>
    <w:div w:id="1882788025">
      <w:bodyDiv w:val="1"/>
      <w:marLeft w:val="0"/>
      <w:marRight w:val="0"/>
      <w:marTop w:val="0"/>
      <w:marBottom w:val="0"/>
      <w:divBdr>
        <w:top w:val="none" w:sz="0" w:space="0" w:color="auto"/>
        <w:left w:val="none" w:sz="0" w:space="0" w:color="auto"/>
        <w:bottom w:val="none" w:sz="0" w:space="0" w:color="auto"/>
        <w:right w:val="none" w:sz="0" w:space="0" w:color="auto"/>
      </w:divBdr>
    </w:div>
    <w:div w:id="1884094992">
      <w:bodyDiv w:val="1"/>
      <w:marLeft w:val="0"/>
      <w:marRight w:val="0"/>
      <w:marTop w:val="0"/>
      <w:marBottom w:val="0"/>
      <w:divBdr>
        <w:top w:val="none" w:sz="0" w:space="0" w:color="auto"/>
        <w:left w:val="none" w:sz="0" w:space="0" w:color="auto"/>
        <w:bottom w:val="none" w:sz="0" w:space="0" w:color="auto"/>
        <w:right w:val="none" w:sz="0" w:space="0" w:color="auto"/>
      </w:divBdr>
    </w:div>
    <w:div w:id="1915240549">
      <w:bodyDiv w:val="1"/>
      <w:marLeft w:val="0"/>
      <w:marRight w:val="0"/>
      <w:marTop w:val="0"/>
      <w:marBottom w:val="0"/>
      <w:divBdr>
        <w:top w:val="none" w:sz="0" w:space="0" w:color="auto"/>
        <w:left w:val="none" w:sz="0" w:space="0" w:color="auto"/>
        <w:bottom w:val="none" w:sz="0" w:space="0" w:color="auto"/>
        <w:right w:val="none" w:sz="0" w:space="0" w:color="auto"/>
      </w:divBdr>
      <w:divsChild>
        <w:div w:id="809401162">
          <w:marLeft w:val="0"/>
          <w:marRight w:val="0"/>
          <w:marTop w:val="0"/>
          <w:marBottom w:val="0"/>
          <w:divBdr>
            <w:top w:val="none" w:sz="0" w:space="0" w:color="auto"/>
            <w:left w:val="none" w:sz="0" w:space="0" w:color="auto"/>
            <w:bottom w:val="none" w:sz="0" w:space="0" w:color="auto"/>
            <w:right w:val="none" w:sz="0" w:space="0" w:color="auto"/>
          </w:divBdr>
        </w:div>
        <w:div w:id="1207061196">
          <w:marLeft w:val="0"/>
          <w:marRight w:val="0"/>
          <w:marTop w:val="0"/>
          <w:marBottom w:val="0"/>
          <w:divBdr>
            <w:top w:val="none" w:sz="0" w:space="0" w:color="auto"/>
            <w:left w:val="none" w:sz="0" w:space="0" w:color="auto"/>
            <w:bottom w:val="none" w:sz="0" w:space="0" w:color="auto"/>
            <w:right w:val="none" w:sz="0" w:space="0" w:color="auto"/>
          </w:divBdr>
        </w:div>
        <w:div w:id="1592425218">
          <w:marLeft w:val="0"/>
          <w:marRight w:val="0"/>
          <w:marTop w:val="0"/>
          <w:marBottom w:val="0"/>
          <w:divBdr>
            <w:top w:val="none" w:sz="0" w:space="0" w:color="auto"/>
            <w:left w:val="none" w:sz="0" w:space="0" w:color="auto"/>
            <w:bottom w:val="none" w:sz="0" w:space="0" w:color="auto"/>
            <w:right w:val="none" w:sz="0" w:space="0" w:color="auto"/>
          </w:divBdr>
        </w:div>
        <w:div w:id="1885480968">
          <w:marLeft w:val="0"/>
          <w:marRight w:val="0"/>
          <w:marTop w:val="0"/>
          <w:marBottom w:val="0"/>
          <w:divBdr>
            <w:top w:val="none" w:sz="0" w:space="0" w:color="auto"/>
            <w:left w:val="none" w:sz="0" w:space="0" w:color="auto"/>
            <w:bottom w:val="none" w:sz="0" w:space="0" w:color="auto"/>
            <w:right w:val="none" w:sz="0" w:space="0" w:color="auto"/>
          </w:divBdr>
        </w:div>
        <w:div w:id="2045710169">
          <w:marLeft w:val="0"/>
          <w:marRight w:val="0"/>
          <w:marTop w:val="0"/>
          <w:marBottom w:val="0"/>
          <w:divBdr>
            <w:top w:val="none" w:sz="0" w:space="0" w:color="auto"/>
            <w:left w:val="none" w:sz="0" w:space="0" w:color="auto"/>
            <w:bottom w:val="none" w:sz="0" w:space="0" w:color="auto"/>
            <w:right w:val="none" w:sz="0" w:space="0" w:color="auto"/>
          </w:divBdr>
        </w:div>
        <w:div w:id="2136363530">
          <w:marLeft w:val="0"/>
          <w:marRight w:val="0"/>
          <w:marTop w:val="0"/>
          <w:marBottom w:val="0"/>
          <w:divBdr>
            <w:top w:val="none" w:sz="0" w:space="0" w:color="auto"/>
            <w:left w:val="none" w:sz="0" w:space="0" w:color="auto"/>
            <w:bottom w:val="none" w:sz="0" w:space="0" w:color="auto"/>
            <w:right w:val="none" w:sz="0" w:space="0" w:color="auto"/>
          </w:divBdr>
        </w:div>
      </w:divsChild>
    </w:div>
    <w:div w:id="2046639997">
      <w:bodyDiv w:val="1"/>
      <w:marLeft w:val="0"/>
      <w:marRight w:val="0"/>
      <w:marTop w:val="0"/>
      <w:marBottom w:val="0"/>
      <w:divBdr>
        <w:top w:val="none" w:sz="0" w:space="0" w:color="auto"/>
        <w:left w:val="none" w:sz="0" w:space="0" w:color="auto"/>
        <w:bottom w:val="none" w:sz="0" w:space="0" w:color="auto"/>
        <w:right w:val="none" w:sz="0" w:space="0" w:color="auto"/>
      </w:divBdr>
    </w:div>
    <w:div w:id="21223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50485E8B5E524FA2F539761921D6DD" ma:contentTypeVersion="10" ma:contentTypeDescription="Create a new document." ma:contentTypeScope="" ma:versionID="70ade380d39869bb784fd1047413b0ac">
  <xsd:schema xmlns:xsd="http://www.w3.org/2001/XMLSchema" xmlns:xs="http://www.w3.org/2001/XMLSchema" xmlns:p="http://schemas.microsoft.com/office/2006/metadata/properties" xmlns:ns3="7a780a82-2508-480f-bff7-8df430a535e1" xmlns:ns4="c25b81a1-7926-4118-90f9-84cddc1bc2dd" targetNamespace="http://schemas.microsoft.com/office/2006/metadata/properties" ma:root="true" ma:fieldsID="26915346371e24117398cccd242d43a7" ns3:_="" ns4:_="">
    <xsd:import namespace="7a780a82-2508-480f-bff7-8df430a535e1"/>
    <xsd:import namespace="c25b81a1-7926-4118-90f9-84cddc1bc2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0a82-2508-480f-bff7-8df430a53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b81a1-7926-4118-90f9-84cddc1bc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9281F-3101-43CF-9274-26D950B83B60}">
  <ds:schemaRefs>
    <ds:schemaRef ds:uri="http://schemas.microsoft.com/sharepoint/v3/contenttype/forms"/>
  </ds:schemaRefs>
</ds:datastoreItem>
</file>

<file path=customXml/itemProps2.xml><?xml version="1.0" encoding="utf-8"?>
<ds:datastoreItem xmlns:ds="http://schemas.openxmlformats.org/officeDocument/2006/customXml" ds:itemID="{23FC6430-B8D0-4A15-910D-D0216E4C38BC}">
  <ds:schemaRefs>
    <ds:schemaRef ds:uri="http://purl.org/dc/elements/1.1/"/>
    <ds:schemaRef ds:uri="http://purl.org/dc/terms/"/>
    <ds:schemaRef ds:uri="http://schemas.openxmlformats.org/package/2006/metadata/core-properties"/>
    <ds:schemaRef ds:uri="http://schemas.microsoft.com/office/infopath/2007/PartnerControls"/>
    <ds:schemaRef ds:uri="7a780a82-2508-480f-bff7-8df430a535e1"/>
    <ds:schemaRef ds:uri="c25b81a1-7926-4118-90f9-84cddc1bc2dd"/>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025D19-6CB7-42CF-981E-E2931CE03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0a82-2508-480f-bff7-8df430a535e1"/>
    <ds:schemaRef ds:uri="c25b81a1-7926-4118-90f9-84cddc1bc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Links>
    <vt:vector size="42" baseType="variant">
      <vt:variant>
        <vt:i4>7667786</vt:i4>
      </vt:variant>
      <vt:variant>
        <vt:i4>18</vt:i4>
      </vt:variant>
      <vt:variant>
        <vt:i4>0</vt:i4>
      </vt:variant>
      <vt:variant>
        <vt:i4>5</vt:i4>
      </vt:variant>
      <vt:variant>
        <vt:lpwstr>mailto:James.Varney@amp.co.nz</vt:lpwstr>
      </vt:variant>
      <vt:variant>
        <vt:lpwstr/>
      </vt:variant>
      <vt:variant>
        <vt:i4>7667786</vt:i4>
      </vt:variant>
      <vt:variant>
        <vt:i4>15</vt:i4>
      </vt:variant>
      <vt:variant>
        <vt:i4>0</vt:i4>
      </vt:variant>
      <vt:variant>
        <vt:i4>5</vt:i4>
      </vt:variant>
      <vt:variant>
        <vt:lpwstr>mailto:James.Varney@amp.co.nz</vt:lpwstr>
      </vt:variant>
      <vt:variant>
        <vt:lpwstr/>
      </vt:variant>
      <vt:variant>
        <vt:i4>7667786</vt:i4>
      </vt:variant>
      <vt:variant>
        <vt:i4>12</vt:i4>
      </vt:variant>
      <vt:variant>
        <vt:i4>0</vt:i4>
      </vt:variant>
      <vt:variant>
        <vt:i4>5</vt:i4>
      </vt:variant>
      <vt:variant>
        <vt:lpwstr>mailto:James.Varney@amp.co.nz</vt:lpwstr>
      </vt:variant>
      <vt:variant>
        <vt:lpwstr/>
      </vt:variant>
      <vt:variant>
        <vt:i4>7667786</vt:i4>
      </vt:variant>
      <vt:variant>
        <vt:i4>9</vt:i4>
      </vt:variant>
      <vt:variant>
        <vt:i4>0</vt:i4>
      </vt:variant>
      <vt:variant>
        <vt:i4>5</vt:i4>
      </vt:variant>
      <vt:variant>
        <vt:lpwstr>mailto:James.Varney@amp.co.nz</vt:lpwstr>
      </vt:variant>
      <vt:variant>
        <vt:lpwstr/>
      </vt:variant>
      <vt:variant>
        <vt:i4>6553672</vt:i4>
      </vt:variant>
      <vt:variant>
        <vt:i4>6</vt:i4>
      </vt:variant>
      <vt:variant>
        <vt:i4>0</vt:i4>
      </vt:variant>
      <vt:variant>
        <vt:i4>5</vt:i4>
      </vt:variant>
      <vt:variant>
        <vt:lpwstr>mailto:Adrian.Hansen@amp.co.nz</vt:lpwstr>
      </vt:variant>
      <vt:variant>
        <vt:lpwstr/>
      </vt:variant>
      <vt:variant>
        <vt:i4>6553672</vt:i4>
      </vt:variant>
      <vt:variant>
        <vt:i4>3</vt:i4>
      </vt:variant>
      <vt:variant>
        <vt:i4>0</vt:i4>
      </vt:variant>
      <vt:variant>
        <vt:i4>5</vt:i4>
      </vt:variant>
      <vt:variant>
        <vt:lpwstr>mailto:Adrian.Hansen@amp.co.nz</vt:lpwstr>
      </vt:variant>
      <vt:variant>
        <vt:lpwstr/>
      </vt:variant>
      <vt:variant>
        <vt:i4>6553672</vt:i4>
      </vt:variant>
      <vt:variant>
        <vt:i4>0</vt:i4>
      </vt:variant>
      <vt:variant>
        <vt:i4>0</vt:i4>
      </vt:variant>
      <vt:variant>
        <vt:i4>5</vt:i4>
      </vt:variant>
      <vt:variant>
        <vt:lpwstr>mailto:Adrian.Hansen@amp.co.nz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Schmidt</dc:creator>
  <cp:keywords/>
  <dc:description/>
  <cp:lastModifiedBy>Anuja Desai</cp:lastModifiedBy>
  <cp:revision>3</cp:revision>
  <cp:lastPrinted>2021-06-21T04:28:00Z</cp:lastPrinted>
  <dcterms:created xsi:type="dcterms:W3CDTF">2021-11-07T23:41:00Z</dcterms:created>
  <dcterms:modified xsi:type="dcterms:W3CDTF">2021-11-07T23:43:00Z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0x010100E050485E8B5E524FA2F539761921D6DD</vt:lpwstr>
  </property>
</Properties>
</file>